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3" w:type="dxa"/>
        <w:jc w:val="center"/>
        <w:tblInd w:w="-1180" w:type="dxa"/>
        <w:tblLook w:val="04A0"/>
      </w:tblPr>
      <w:tblGrid>
        <w:gridCol w:w="4399"/>
        <w:gridCol w:w="1367"/>
        <w:gridCol w:w="3987"/>
      </w:tblGrid>
      <w:tr w:rsidR="0063653D" w:rsidTr="0063653D">
        <w:trPr>
          <w:trHeight w:val="1236"/>
          <w:jc w:val="center"/>
        </w:trPr>
        <w:tc>
          <w:tcPr>
            <w:tcW w:w="43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3653D" w:rsidRDefault="0063653D">
            <w:pPr>
              <w:ind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lang w:val="be-BY"/>
              </w:rPr>
              <w:t>БАШКОРТОСТАН РЕСПУБЛИКАҺЫ</w:t>
            </w:r>
          </w:p>
          <w:p w:rsidR="0063653D" w:rsidRDefault="0063653D">
            <w:pPr>
              <w:ind w:hanging="11"/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ХӘЙБУЛЛА РАЙОНЫ</w:t>
            </w:r>
          </w:p>
          <w:p w:rsidR="0063653D" w:rsidRDefault="0063653D">
            <w:pPr>
              <w:ind w:hanging="11"/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МУНИЦИПАЛЬ РАЙОНЫНЫҢ</w:t>
            </w:r>
          </w:p>
          <w:p w:rsidR="0063653D" w:rsidRDefault="0063653D">
            <w:pPr>
              <w:ind w:hanging="11"/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АНТИНГӘН АУЫЛ СОВЕТЫ</w:t>
            </w:r>
          </w:p>
          <w:p w:rsidR="0063653D" w:rsidRDefault="0063653D">
            <w:pPr>
              <w:ind w:hanging="11"/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АУЫЛ БИЛӘМӘҺЕ</w:t>
            </w:r>
          </w:p>
          <w:p w:rsidR="0063653D" w:rsidRDefault="0063653D">
            <w:pPr>
              <w:ind w:hanging="11"/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lang w:val="be-BY"/>
              </w:rPr>
              <w:t>СОВЕТЫ</w:t>
            </w:r>
          </w:p>
        </w:tc>
        <w:tc>
          <w:tcPr>
            <w:tcW w:w="13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3653D" w:rsidRDefault="0063653D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3653D" w:rsidRDefault="006365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lang w:val="be-BY"/>
              </w:rPr>
              <w:t>СОВЕТ</w:t>
            </w:r>
          </w:p>
          <w:p w:rsidR="0063653D" w:rsidRDefault="0063653D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СЕЛЬСКОГО ПОСЕЛЕНИЯ</w:t>
            </w:r>
          </w:p>
          <w:p w:rsidR="0063653D" w:rsidRDefault="0063653D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АНТИНГАНСКИЙ СЕЛЬСОВЕТ</w:t>
            </w:r>
          </w:p>
          <w:p w:rsidR="0063653D" w:rsidRDefault="0063653D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МУНИЦИПАЛЬНОГО РАЙОНА</w:t>
            </w:r>
          </w:p>
          <w:p w:rsidR="0063653D" w:rsidRDefault="0063653D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ХАЙБУЛЛИНСКИЙ РАЙОН</w:t>
            </w:r>
          </w:p>
          <w:p w:rsidR="0063653D" w:rsidRDefault="0063653D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lang w:val="be-BY"/>
              </w:rPr>
              <w:t>РЕСПУБЛИКИ БАШКОРТОСТАН</w:t>
            </w:r>
          </w:p>
        </w:tc>
      </w:tr>
      <w:tr w:rsidR="0063653D" w:rsidTr="0063653D">
        <w:trPr>
          <w:trHeight w:val="201"/>
          <w:jc w:val="center"/>
        </w:trPr>
        <w:tc>
          <w:tcPr>
            <w:tcW w:w="439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3653D" w:rsidRDefault="0063653D" w:rsidP="0063653D">
            <w:pPr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lang w:val="be-BY"/>
              </w:rPr>
              <w:t xml:space="preserve">КАРАР                                                                       </w:t>
            </w:r>
          </w:p>
        </w:tc>
        <w:tc>
          <w:tcPr>
            <w:tcW w:w="136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3653D" w:rsidRDefault="0063653D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3653D" w:rsidRDefault="006365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color w:val="000000"/>
                <w:lang w:val="be-BY"/>
              </w:rPr>
              <w:t xml:space="preserve">РЕШЕНИЕ </w:t>
            </w:r>
          </w:p>
          <w:p w:rsidR="0063653D" w:rsidRDefault="0063653D">
            <w:pPr>
              <w:jc w:val="center"/>
              <w:rPr>
                <w:color w:val="000000"/>
                <w:lang w:val="be-BY"/>
              </w:rPr>
            </w:pPr>
          </w:p>
          <w:p w:rsidR="0063653D" w:rsidRDefault="0063653D">
            <w:pPr>
              <w:jc w:val="center"/>
              <w:rPr>
                <w:color w:val="000000"/>
                <w:lang w:val="be-BY"/>
              </w:rPr>
            </w:pPr>
          </w:p>
          <w:p w:rsidR="0063653D" w:rsidRDefault="0063653D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</w:p>
        </w:tc>
      </w:tr>
    </w:tbl>
    <w:p w:rsidR="0063653D" w:rsidRPr="0063653D" w:rsidRDefault="0063653D" w:rsidP="0063653D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63653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63653D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6365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3653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365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16 мая 2016 года № Р-9/34 «О Порядке выпаса и прогона сельскохозяйственных животных на территории сельского поселения </w:t>
      </w:r>
      <w:proofErr w:type="spellStart"/>
      <w:r w:rsidRPr="0063653D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6365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63653D" w:rsidRPr="0063653D" w:rsidRDefault="0063653D" w:rsidP="0063653D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653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365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63653D" w:rsidRPr="0063653D" w:rsidRDefault="0063653D" w:rsidP="0063653D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63653D" w:rsidRPr="0063653D" w:rsidRDefault="0063653D" w:rsidP="0063653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53D">
        <w:rPr>
          <w:rFonts w:ascii="Times New Roman" w:hAnsi="Times New Roman" w:cs="Times New Roman"/>
          <w:sz w:val="28"/>
          <w:szCs w:val="28"/>
        </w:rPr>
        <w:t xml:space="preserve">     В соответствии с Законом Российской Федерации от 14 мая 1993 года № 4979-1 «О ветеринарии» и статьей 2 Закона Республики Башкортостан от 30 мая 2011 года № 404-з "Об упорядочении выпаса и прогона сельскохозяйственных животных на территории Республики Башкортостан", Совет сельского поселения </w:t>
      </w:r>
      <w:proofErr w:type="spellStart"/>
      <w:r w:rsidRPr="0063653D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6365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3653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365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63653D" w:rsidRPr="0063653D" w:rsidRDefault="0063653D" w:rsidP="0063653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63653D">
        <w:rPr>
          <w:rFonts w:ascii="Times New Roman" w:hAnsi="Times New Roman" w:cs="Times New Roman"/>
          <w:sz w:val="28"/>
          <w:szCs w:val="28"/>
        </w:rPr>
        <w:tab/>
      </w:r>
    </w:p>
    <w:p w:rsidR="0063653D" w:rsidRPr="0063653D" w:rsidRDefault="0063653D" w:rsidP="0063653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63653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3653D">
        <w:rPr>
          <w:rFonts w:ascii="Times New Roman" w:hAnsi="Times New Roman" w:cs="Times New Roman"/>
          <w:sz w:val="28"/>
          <w:szCs w:val="28"/>
        </w:rPr>
        <w:t xml:space="preserve">Внести в Порядок выпаса и прогона сельскохозяйственных животных на территории сельского поселения </w:t>
      </w:r>
      <w:proofErr w:type="spellStart"/>
      <w:r w:rsidRPr="0063653D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6365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3653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365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утвержденный решением Совета сельского поселения </w:t>
      </w:r>
      <w:proofErr w:type="spellStart"/>
      <w:r w:rsidRPr="0063653D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6365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3653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365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16 мая 2016 года № Р-9/34 «О Порядке выпаса и прогона сельскохозяйственных животных на территории сельского поселения </w:t>
      </w:r>
      <w:proofErr w:type="spellStart"/>
      <w:r w:rsidRPr="0063653D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6365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3653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365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следующие</w:t>
      </w:r>
      <w:proofErr w:type="gramEnd"/>
      <w:r w:rsidRPr="0063653D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63653D" w:rsidRPr="0063653D" w:rsidRDefault="0063653D" w:rsidP="0063653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53D">
        <w:rPr>
          <w:rFonts w:ascii="Times New Roman" w:hAnsi="Times New Roman" w:cs="Times New Roman"/>
          <w:sz w:val="28"/>
          <w:szCs w:val="28"/>
        </w:rPr>
        <w:t>1) абзац третий пункта 2.4. признать утратившим силу;</w:t>
      </w:r>
    </w:p>
    <w:p w:rsidR="0063653D" w:rsidRPr="0063653D" w:rsidRDefault="0063653D" w:rsidP="0063653D">
      <w:pPr>
        <w:pStyle w:val="ConsPlusNormal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53D">
        <w:rPr>
          <w:rFonts w:ascii="Times New Roman" w:hAnsi="Times New Roman" w:cs="Times New Roman"/>
          <w:sz w:val="28"/>
          <w:szCs w:val="28"/>
        </w:rPr>
        <w:t xml:space="preserve">2) пункт 6.1. признать утратившим силу; </w:t>
      </w:r>
    </w:p>
    <w:p w:rsidR="0063653D" w:rsidRPr="0063653D" w:rsidRDefault="0063653D" w:rsidP="0063653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53D">
        <w:rPr>
          <w:rFonts w:ascii="Times New Roman" w:hAnsi="Times New Roman" w:cs="Times New Roman"/>
          <w:sz w:val="28"/>
          <w:szCs w:val="28"/>
        </w:rPr>
        <w:t>3)  пункт 7.2. изложить в следующей редакции:</w:t>
      </w:r>
    </w:p>
    <w:p w:rsidR="0063653D" w:rsidRPr="0063653D" w:rsidRDefault="0063653D" w:rsidP="0063653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53D">
        <w:rPr>
          <w:rFonts w:ascii="Times New Roman" w:hAnsi="Times New Roman" w:cs="Times New Roman"/>
          <w:sz w:val="28"/>
          <w:szCs w:val="28"/>
        </w:rPr>
        <w:t>«7.2. Вред, причиненный здоровью граждан, или ущерб, нанесенный их имуществу сельскохозяйственными животными, возмещается их владельцами при наличии вины (умысла или неосторожности)</w:t>
      </w:r>
      <w:proofErr w:type="gramStart"/>
      <w:r w:rsidRPr="0063653D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63653D">
        <w:rPr>
          <w:rFonts w:ascii="Times New Roman" w:hAnsi="Times New Roman" w:cs="Times New Roman"/>
          <w:sz w:val="28"/>
          <w:szCs w:val="28"/>
        </w:rPr>
        <w:t xml:space="preserve"> порядке, </w:t>
      </w:r>
      <w:r w:rsidRPr="0063653D"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законодательством Российской Федерации и Республики Башкортостан.</w:t>
      </w:r>
    </w:p>
    <w:p w:rsidR="0063653D" w:rsidRPr="0063653D" w:rsidRDefault="0063653D" w:rsidP="0063653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53D" w:rsidRPr="0063653D" w:rsidRDefault="0063653D" w:rsidP="0063653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3D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путем размещения на информационных стендах в здании Администрации сельского поселения и других местах и на официальном сайте Администрации сельского поселения </w:t>
      </w:r>
      <w:proofErr w:type="spellStart"/>
      <w:r w:rsidRPr="0063653D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6365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3653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365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3653D" w:rsidRPr="0063653D" w:rsidRDefault="0063653D" w:rsidP="0063653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53D" w:rsidRPr="0063653D" w:rsidRDefault="0063653D" w:rsidP="00636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53D" w:rsidRPr="0063653D" w:rsidRDefault="0063653D" w:rsidP="0063653D">
      <w:pPr>
        <w:jc w:val="both"/>
        <w:rPr>
          <w:rFonts w:ascii="Times New Roman" w:hAnsi="Times New Roman" w:cs="Times New Roman"/>
          <w:sz w:val="28"/>
          <w:szCs w:val="28"/>
        </w:rPr>
      </w:pPr>
      <w:r w:rsidRPr="0063653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3653D" w:rsidRPr="0063653D" w:rsidRDefault="0063653D" w:rsidP="006365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53D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63653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3653D" w:rsidRPr="0063653D" w:rsidRDefault="0063653D" w:rsidP="0063653D">
      <w:pPr>
        <w:jc w:val="both"/>
        <w:rPr>
          <w:rFonts w:ascii="Times New Roman" w:hAnsi="Times New Roman" w:cs="Times New Roman"/>
          <w:sz w:val="28"/>
          <w:szCs w:val="28"/>
        </w:rPr>
      </w:pPr>
      <w:r w:rsidRPr="0063653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3653D" w:rsidRPr="0063653D" w:rsidRDefault="0063653D" w:rsidP="0063653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53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3653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3653D" w:rsidRPr="0063653D" w:rsidRDefault="0063653D" w:rsidP="0063653D">
      <w:pPr>
        <w:jc w:val="both"/>
        <w:rPr>
          <w:rFonts w:ascii="Times New Roman" w:hAnsi="Times New Roman" w:cs="Times New Roman"/>
          <w:sz w:val="28"/>
          <w:szCs w:val="28"/>
        </w:rPr>
      </w:pPr>
      <w:r w:rsidRPr="0063653D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proofErr w:type="spellStart"/>
      <w:r w:rsidRPr="0063653D">
        <w:rPr>
          <w:rFonts w:ascii="Times New Roman" w:hAnsi="Times New Roman" w:cs="Times New Roman"/>
          <w:sz w:val="28"/>
          <w:szCs w:val="28"/>
        </w:rPr>
        <w:t>Ф.Б.Искужина</w:t>
      </w:r>
      <w:proofErr w:type="spellEnd"/>
      <w:r w:rsidRPr="006365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63653D" w:rsidRPr="0063653D" w:rsidRDefault="0063653D" w:rsidP="00636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53D" w:rsidRPr="0063653D" w:rsidRDefault="0063653D" w:rsidP="00636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53D" w:rsidRPr="0063653D" w:rsidRDefault="0063653D" w:rsidP="00636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53D" w:rsidRPr="0063653D" w:rsidRDefault="0063653D" w:rsidP="0063653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3653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3653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3653D">
        <w:rPr>
          <w:rFonts w:ascii="Times New Roman" w:hAnsi="Times New Roman" w:cs="Times New Roman"/>
          <w:sz w:val="28"/>
          <w:szCs w:val="28"/>
        </w:rPr>
        <w:t>нтинган</w:t>
      </w:r>
      <w:proofErr w:type="spellEnd"/>
    </w:p>
    <w:p w:rsidR="0063653D" w:rsidRPr="0063653D" w:rsidRDefault="0063653D" w:rsidP="0063653D">
      <w:pPr>
        <w:pStyle w:val="a4"/>
        <w:rPr>
          <w:rFonts w:ascii="Times New Roman" w:hAnsi="Times New Roman" w:cs="Times New Roman"/>
          <w:sz w:val="28"/>
          <w:szCs w:val="28"/>
        </w:rPr>
      </w:pPr>
      <w:r w:rsidRPr="0063653D">
        <w:rPr>
          <w:rFonts w:ascii="Times New Roman" w:hAnsi="Times New Roman" w:cs="Times New Roman"/>
          <w:sz w:val="28"/>
          <w:szCs w:val="28"/>
        </w:rPr>
        <w:t xml:space="preserve">15 ноября 2019 года </w:t>
      </w:r>
    </w:p>
    <w:p w:rsidR="0063653D" w:rsidRPr="0063653D" w:rsidRDefault="0063653D" w:rsidP="0063653D">
      <w:pPr>
        <w:pStyle w:val="a4"/>
        <w:rPr>
          <w:rFonts w:ascii="Times New Roman" w:hAnsi="Times New Roman" w:cs="Times New Roman"/>
          <w:sz w:val="28"/>
          <w:szCs w:val="28"/>
        </w:rPr>
      </w:pPr>
      <w:r w:rsidRPr="0063653D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6365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653D">
        <w:rPr>
          <w:rFonts w:ascii="Times New Roman" w:hAnsi="Times New Roman" w:cs="Times New Roman"/>
          <w:sz w:val="28"/>
          <w:szCs w:val="28"/>
        </w:rPr>
        <w:t xml:space="preserve"> – 2/ 18</w:t>
      </w:r>
    </w:p>
    <w:p w:rsidR="0063653D" w:rsidRPr="0063653D" w:rsidRDefault="0063653D" w:rsidP="0063653D">
      <w:pPr>
        <w:rPr>
          <w:rFonts w:ascii="Times New Roman" w:hAnsi="Times New Roman" w:cs="Times New Roman"/>
          <w:sz w:val="28"/>
          <w:szCs w:val="28"/>
          <w:lang/>
        </w:rPr>
      </w:pPr>
    </w:p>
    <w:p w:rsidR="0063653D" w:rsidRPr="0063653D" w:rsidRDefault="0063653D" w:rsidP="0063653D">
      <w:pPr>
        <w:rPr>
          <w:rFonts w:ascii="Times New Roman" w:hAnsi="Times New Roman" w:cs="Times New Roman"/>
          <w:sz w:val="28"/>
          <w:szCs w:val="28"/>
          <w:lang/>
        </w:rPr>
      </w:pPr>
    </w:p>
    <w:p w:rsidR="00E37050" w:rsidRPr="0063653D" w:rsidRDefault="00E37050">
      <w:pPr>
        <w:rPr>
          <w:rFonts w:ascii="Times New Roman" w:hAnsi="Times New Roman" w:cs="Times New Roman"/>
          <w:sz w:val="28"/>
          <w:szCs w:val="28"/>
        </w:rPr>
      </w:pPr>
    </w:p>
    <w:sectPr w:rsidR="00E37050" w:rsidRPr="0063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53D"/>
    <w:rsid w:val="0063653D"/>
    <w:rsid w:val="00E3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ПФ-таб.текст Знак"/>
    <w:basedOn w:val="a0"/>
    <w:link w:val="a4"/>
    <w:locked/>
    <w:rsid w:val="0063653D"/>
    <w:rPr>
      <w:rFonts w:ascii="Calibri" w:hAnsi="Calibri"/>
    </w:rPr>
  </w:style>
  <w:style w:type="paragraph" w:styleId="a4">
    <w:name w:val="No Spacing"/>
    <w:aliases w:val="ПФ-таб.текст"/>
    <w:link w:val="a3"/>
    <w:qFormat/>
    <w:rsid w:val="0063653D"/>
    <w:pPr>
      <w:spacing w:after="0" w:line="240" w:lineRule="auto"/>
    </w:pPr>
    <w:rPr>
      <w:rFonts w:ascii="Calibri" w:hAnsi="Calibri"/>
    </w:rPr>
  </w:style>
  <w:style w:type="character" w:customStyle="1" w:styleId="ConsPlusNormal">
    <w:name w:val="ConsPlusNormal Знак"/>
    <w:link w:val="ConsPlusNormal0"/>
    <w:locked/>
    <w:rsid w:val="0063653D"/>
    <w:rPr>
      <w:rFonts w:ascii="Arial" w:hAnsi="Arial" w:cs="Arial"/>
    </w:rPr>
  </w:style>
  <w:style w:type="paragraph" w:customStyle="1" w:styleId="ConsPlusNormal0">
    <w:name w:val="ConsPlusNormal"/>
    <w:link w:val="ConsPlusNormal"/>
    <w:rsid w:val="0063653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63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2019-11-26T11:11:00Z</dcterms:created>
  <dcterms:modified xsi:type="dcterms:W3CDTF">2019-11-26T11:12:00Z</dcterms:modified>
</cp:coreProperties>
</file>