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12" w:rsidRDefault="00431312" w:rsidP="00431312">
      <w:pPr>
        <w:spacing w:line="264" w:lineRule="auto"/>
        <w:jc w:val="both"/>
      </w:pPr>
      <w:r>
        <w:rPr>
          <w:b/>
          <w:caps/>
          <w:sz w:val="30"/>
          <w:lang w:val="be-BY"/>
        </w:rPr>
        <w:t xml:space="preserve">    </w:t>
      </w:r>
      <w:r>
        <w:rPr>
          <w:b/>
          <w:caps/>
          <w:lang w:val="be-BY"/>
        </w:rPr>
        <w:t>Карар</w:t>
      </w:r>
      <w:r>
        <w:rPr>
          <w:b/>
          <w:caps/>
          <w:lang w:val="be-BY"/>
        </w:rPr>
        <w:tab/>
      </w:r>
      <w:r>
        <w:rPr>
          <w:b/>
          <w:lang w:val="be-BY"/>
        </w:rPr>
        <w:t xml:space="preserve">                              </w:t>
      </w:r>
      <w:r>
        <w:rPr>
          <w:b/>
          <w:lang w:val="be-BY"/>
        </w:rPr>
        <w:tab/>
        <w:t xml:space="preserve">                                                    </w:t>
      </w:r>
      <w:r>
        <w:rPr>
          <w:b/>
          <w:caps/>
          <w:lang w:val="be-BY"/>
        </w:rPr>
        <w:t>постановление</w:t>
      </w:r>
    </w:p>
    <w:p w:rsidR="00431312" w:rsidRDefault="00431312" w:rsidP="00431312">
      <w:pPr>
        <w:pStyle w:val="2"/>
        <w:spacing w:line="26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24 май   2019 й.                             № 50                      24 мая  2019 года</w:t>
      </w:r>
    </w:p>
    <w:p w:rsidR="00431312" w:rsidRDefault="00431312" w:rsidP="00431312">
      <w:pPr>
        <w:rPr>
          <w:sz w:val="28"/>
          <w:szCs w:val="28"/>
        </w:rPr>
      </w:pPr>
      <w:r>
        <w:rPr>
          <w:sz w:val="28"/>
          <w:szCs w:val="28"/>
        </w:rPr>
        <w:t xml:space="preserve">    Атинг</w:t>
      </w:r>
      <w:r>
        <w:rPr>
          <w:sz w:val="28"/>
          <w:szCs w:val="28"/>
          <w:lang w:val="ba-RU"/>
        </w:rPr>
        <w:t>ә</w:t>
      </w:r>
      <w:r>
        <w:rPr>
          <w:sz w:val="28"/>
          <w:szCs w:val="28"/>
        </w:rPr>
        <w:t>н ауылы                                                                  село Антинган</w:t>
      </w:r>
    </w:p>
    <w:p w:rsidR="00431312" w:rsidRDefault="00431312" w:rsidP="00431312">
      <w:pPr>
        <w:shd w:val="clear" w:color="auto" w:fill="FFFFFF"/>
        <w:ind w:left="851"/>
        <w:rPr>
          <w:i/>
          <w:iCs/>
          <w:sz w:val="26"/>
          <w:szCs w:val="26"/>
        </w:rPr>
      </w:pPr>
    </w:p>
    <w:p w:rsidR="00431312" w:rsidRDefault="00431312" w:rsidP="00431312">
      <w:pPr>
        <w:shd w:val="clear" w:color="auto" w:fill="FFFFFF"/>
        <w:ind w:left="851"/>
        <w:rPr>
          <w:i/>
          <w:iCs/>
          <w:sz w:val="26"/>
          <w:szCs w:val="26"/>
        </w:rPr>
      </w:pPr>
    </w:p>
    <w:p w:rsidR="00431312" w:rsidRDefault="00431312" w:rsidP="0043131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долгосрочной целевой программы  « Энергосбережение и повышение энергетической эффективности  в сельском поселении </w:t>
      </w:r>
      <w:r>
        <w:rPr>
          <w:rFonts w:ascii="Times New Roman" w:hAnsi="Times New Roman"/>
          <w:sz w:val="28"/>
          <w:szCs w:val="28"/>
          <w:lang w:val="ba-RU"/>
        </w:rPr>
        <w:t xml:space="preserve">Антинганский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r>
        <w:rPr>
          <w:rFonts w:ascii="Times New Roman" w:hAnsi="Times New Roman"/>
          <w:sz w:val="28"/>
          <w:szCs w:val="28"/>
          <w:lang w:val="ba-RU"/>
        </w:rPr>
        <w:t xml:space="preserve">Хайбуллинский </w:t>
      </w:r>
      <w:r>
        <w:rPr>
          <w:rFonts w:ascii="Times New Roman" w:hAnsi="Times New Roman"/>
          <w:sz w:val="28"/>
          <w:szCs w:val="28"/>
        </w:rPr>
        <w:t xml:space="preserve">  район  Республики Башкортостан на 201</w:t>
      </w:r>
      <w:r>
        <w:rPr>
          <w:rFonts w:ascii="Times New Roman" w:hAnsi="Times New Roman"/>
          <w:sz w:val="28"/>
          <w:szCs w:val="28"/>
          <w:lang w:val="ba-RU"/>
        </w:rPr>
        <w:t>9</w:t>
      </w:r>
      <w:r>
        <w:rPr>
          <w:rFonts w:ascii="Times New Roman" w:hAnsi="Times New Roman"/>
          <w:sz w:val="28"/>
          <w:szCs w:val="28"/>
        </w:rPr>
        <w:t xml:space="preserve"> год»</w:t>
      </w:r>
    </w:p>
    <w:p w:rsidR="00431312" w:rsidRDefault="00431312" w:rsidP="00431312">
      <w:pPr>
        <w:pStyle w:val="a4"/>
        <w:rPr>
          <w:rFonts w:ascii="Times New Roman" w:hAnsi="Times New Roman"/>
          <w:sz w:val="28"/>
          <w:szCs w:val="28"/>
        </w:rPr>
      </w:pPr>
    </w:p>
    <w:p w:rsidR="00431312" w:rsidRDefault="00431312" w:rsidP="0043131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</w:rPr>
        <w:t>В соответствии со ст. 179 Бюджетного кодекса Российской Федерации, Федеральным законом от 06.10.2003г № 131 ФЗ «Об общих принципах организации местного самоуправления в Российской Федерации», Федеральным законом от 23.11.2009г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  <w:lang w:val="ba-RU"/>
        </w:rPr>
        <w:t xml:space="preserve">, Администрация  сельского поселения Антинганский сельсовет п о с т а н о в л я е т: </w:t>
      </w:r>
    </w:p>
    <w:p w:rsidR="00431312" w:rsidRDefault="00431312" w:rsidP="0043131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</w:rPr>
        <w:t xml:space="preserve">1.  Утвердить долгосрочную целевую программу по энергосбережению и повышению энергетической эффективности  в сельском поселении </w:t>
      </w:r>
      <w:r>
        <w:rPr>
          <w:rFonts w:ascii="Times New Roman" w:hAnsi="Times New Roman"/>
          <w:sz w:val="28"/>
          <w:szCs w:val="28"/>
          <w:lang w:val="ba-RU"/>
        </w:rPr>
        <w:t xml:space="preserve">Антинганский </w:t>
      </w:r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r>
        <w:rPr>
          <w:rFonts w:ascii="Times New Roman" w:hAnsi="Times New Roman"/>
          <w:sz w:val="28"/>
          <w:szCs w:val="28"/>
          <w:lang w:val="ba-RU"/>
        </w:rPr>
        <w:t xml:space="preserve">Хайбуллинский </w:t>
      </w:r>
      <w:r>
        <w:rPr>
          <w:rFonts w:ascii="Times New Roman" w:hAnsi="Times New Roman"/>
          <w:sz w:val="28"/>
          <w:szCs w:val="28"/>
        </w:rPr>
        <w:t xml:space="preserve">  район  Республики  Башкортостан на 201</w:t>
      </w:r>
      <w:r>
        <w:rPr>
          <w:rFonts w:ascii="Times New Roman" w:hAnsi="Times New Roman"/>
          <w:sz w:val="28"/>
          <w:szCs w:val="28"/>
          <w:lang w:val="ba-RU"/>
        </w:rPr>
        <w:t>9</w:t>
      </w:r>
      <w:r>
        <w:rPr>
          <w:rFonts w:ascii="Times New Roman" w:hAnsi="Times New Roman"/>
          <w:sz w:val="28"/>
          <w:szCs w:val="28"/>
        </w:rPr>
        <w:t xml:space="preserve"> год, согласно Приложению к настоящему </w:t>
      </w:r>
      <w:r>
        <w:rPr>
          <w:rFonts w:ascii="Times New Roman" w:hAnsi="Times New Roman"/>
          <w:sz w:val="28"/>
          <w:szCs w:val="28"/>
          <w:lang w:val="ba-RU"/>
        </w:rPr>
        <w:t>постановлению.</w:t>
      </w:r>
    </w:p>
    <w:p w:rsidR="00431312" w:rsidRDefault="00431312" w:rsidP="004313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Установить, что в ходе реализации муниципальной среднесрочной целевой программы « Энергосбережение и повышение энергетической эффективности  в сельском поселении </w:t>
      </w:r>
      <w:r>
        <w:rPr>
          <w:rFonts w:ascii="Times New Roman" w:hAnsi="Times New Roman"/>
          <w:sz w:val="28"/>
          <w:szCs w:val="28"/>
          <w:lang w:val="ba-RU"/>
        </w:rPr>
        <w:t xml:space="preserve">Антинганский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r>
        <w:rPr>
          <w:rFonts w:ascii="Times New Roman" w:hAnsi="Times New Roman"/>
          <w:sz w:val="28"/>
          <w:szCs w:val="28"/>
          <w:lang w:val="ba-RU"/>
        </w:rPr>
        <w:t xml:space="preserve">Хайбуллинский </w:t>
      </w:r>
      <w:r>
        <w:rPr>
          <w:rFonts w:ascii="Times New Roman" w:hAnsi="Times New Roman"/>
          <w:sz w:val="28"/>
          <w:szCs w:val="28"/>
        </w:rPr>
        <w:t xml:space="preserve">  район  Республики Башкортостан на 201</w:t>
      </w:r>
      <w:r>
        <w:rPr>
          <w:rFonts w:ascii="Times New Roman" w:hAnsi="Times New Roman"/>
          <w:sz w:val="28"/>
          <w:szCs w:val="28"/>
          <w:lang w:val="ba-RU"/>
        </w:rPr>
        <w:t>9</w:t>
      </w:r>
      <w:r>
        <w:rPr>
          <w:rFonts w:ascii="Times New Roman" w:hAnsi="Times New Roman"/>
          <w:sz w:val="28"/>
          <w:szCs w:val="28"/>
        </w:rPr>
        <w:t xml:space="preserve"> год» ежегодный корректировке подлежат мероприятия и объемы их финансирования с учетом  возможностей средств бюджета поселения.</w:t>
      </w:r>
    </w:p>
    <w:p w:rsidR="00431312" w:rsidRDefault="00431312" w:rsidP="0043131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>
        <w:rPr>
          <w:rFonts w:ascii="Times New Roman" w:hAnsi="Times New Roman"/>
          <w:sz w:val="28"/>
          <w:szCs w:val="28"/>
          <w:lang w:val="ba-RU"/>
        </w:rPr>
        <w:t xml:space="preserve">Настоящее постановление обнародовать на информационном стенде  администрации сельского поселения Антинганский сельсовет муниципального района Хайбуллинский район Республики башкортостан ир </w:t>
      </w:r>
      <w:r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сельского поселения муниципального района </w:t>
      </w:r>
      <w:r>
        <w:rPr>
          <w:rFonts w:ascii="Times New Roman" w:hAnsi="Times New Roman"/>
          <w:sz w:val="28"/>
          <w:szCs w:val="28"/>
          <w:lang w:val="ba-RU"/>
        </w:rPr>
        <w:t xml:space="preserve">Хайбуллинский </w:t>
      </w:r>
      <w:r>
        <w:rPr>
          <w:rFonts w:ascii="Times New Roman" w:hAnsi="Times New Roman"/>
          <w:sz w:val="28"/>
          <w:szCs w:val="28"/>
        </w:rPr>
        <w:t xml:space="preserve">  район  Республики  Башкортостан .</w:t>
      </w:r>
    </w:p>
    <w:p w:rsidR="00431312" w:rsidRDefault="00431312" w:rsidP="00431312">
      <w:pPr>
        <w:pStyle w:val="a4"/>
        <w:rPr>
          <w:rFonts w:ascii="Times New Roman" w:hAnsi="Times New Roman"/>
          <w:sz w:val="28"/>
          <w:szCs w:val="28"/>
        </w:rPr>
      </w:pPr>
    </w:p>
    <w:p w:rsidR="00431312" w:rsidRDefault="00431312" w:rsidP="0043131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</w:t>
      </w:r>
    </w:p>
    <w:p w:rsidR="00431312" w:rsidRDefault="00431312" w:rsidP="00431312">
      <w:pPr>
        <w:pStyle w:val="a4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 xml:space="preserve">Антинганский  </w:t>
      </w:r>
      <w:r>
        <w:rPr>
          <w:rFonts w:ascii="Times New Roman" w:hAnsi="Times New Roman"/>
          <w:sz w:val="28"/>
          <w:szCs w:val="28"/>
        </w:rPr>
        <w:t xml:space="preserve">сельсовет </w:t>
      </w:r>
    </w:p>
    <w:p w:rsidR="00431312" w:rsidRDefault="00431312" w:rsidP="00431312">
      <w:pPr>
        <w:pStyle w:val="a4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</w:rPr>
        <w:t>муниципального  района</w:t>
      </w:r>
    </w:p>
    <w:p w:rsidR="00431312" w:rsidRDefault="00431312" w:rsidP="00431312">
      <w:pPr>
        <w:pStyle w:val="a4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  <w:lang w:val="ba-RU"/>
        </w:rPr>
        <w:t xml:space="preserve">Хайбуллинский </w:t>
      </w:r>
      <w:r>
        <w:rPr>
          <w:rFonts w:ascii="Times New Roman" w:hAnsi="Times New Roman"/>
          <w:sz w:val="28"/>
          <w:szCs w:val="28"/>
        </w:rPr>
        <w:t xml:space="preserve">  район                                             М.Ф.Сурина</w:t>
      </w:r>
    </w:p>
    <w:p w:rsidR="00431312" w:rsidRDefault="00431312" w:rsidP="00431312">
      <w:pPr>
        <w:pStyle w:val="a4"/>
        <w:rPr>
          <w:rFonts w:ascii="Times New Roman" w:hAnsi="Times New Roman"/>
          <w:sz w:val="28"/>
          <w:szCs w:val="28"/>
          <w:lang w:val="ba-RU"/>
        </w:rPr>
      </w:pPr>
    </w:p>
    <w:p w:rsidR="00431312" w:rsidRDefault="00431312" w:rsidP="00431312">
      <w:pPr>
        <w:pStyle w:val="a4"/>
        <w:rPr>
          <w:rFonts w:ascii="Times New Roman" w:hAnsi="Times New Roman"/>
          <w:sz w:val="28"/>
          <w:szCs w:val="28"/>
          <w:lang w:val="ba-RU"/>
        </w:rPr>
      </w:pPr>
    </w:p>
    <w:p w:rsidR="00431312" w:rsidRDefault="00431312" w:rsidP="00431312">
      <w:pPr>
        <w:pStyle w:val="a4"/>
        <w:rPr>
          <w:rFonts w:ascii="Times New Roman" w:hAnsi="Times New Roman"/>
          <w:sz w:val="28"/>
          <w:szCs w:val="28"/>
          <w:lang w:val="ba-RU"/>
        </w:rPr>
      </w:pPr>
    </w:p>
    <w:p w:rsidR="00431312" w:rsidRDefault="00431312" w:rsidP="00431312">
      <w:pPr>
        <w:pStyle w:val="a4"/>
        <w:jc w:val="right"/>
        <w:rPr>
          <w:rFonts w:ascii="Times New Roman" w:eastAsia="Times New Roman" w:hAnsi="Times New Roman"/>
          <w:lang w:val="ba-RU"/>
        </w:rPr>
      </w:pPr>
      <w:r>
        <w:rPr>
          <w:rFonts w:eastAsia="Times New Roman"/>
          <w:lang w:val="ba-RU"/>
        </w:rPr>
        <w:tab/>
      </w:r>
      <w:r>
        <w:rPr>
          <w:rFonts w:eastAsia="Times New Roman"/>
          <w:lang w:val="ba-RU"/>
        </w:rPr>
        <w:tab/>
      </w:r>
      <w:r>
        <w:rPr>
          <w:rFonts w:ascii="Times New Roman" w:eastAsia="Times New Roman" w:hAnsi="Times New Roman"/>
          <w:lang w:val="ba-RU"/>
        </w:rPr>
        <w:t xml:space="preserve">Приложени  к постановлению Администрации </w:t>
      </w:r>
    </w:p>
    <w:p w:rsidR="00431312" w:rsidRDefault="00431312" w:rsidP="00431312">
      <w:pPr>
        <w:pStyle w:val="a4"/>
        <w:jc w:val="right"/>
        <w:rPr>
          <w:rFonts w:ascii="Times New Roman" w:eastAsia="Times New Roman" w:hAnsi="Times New Roman"/>
          <w:lang w:val="ba-RU"/>
        </w:rPr>
      </w:pPr>
      <w:r>
        <w:rPr>
          <w:rFonts w:ascii="Times New Roman" w:eastAsia="Times New Roman" w:hAnsi="Times New Roman"/>
          <w:lang w:val="ba-RU"/>
        </w:rPr>
        <w:lastRenderedPageBreak/>
        <w:t>сельского поселения Антинганский сельсовет</w:t>
      </w:r>
    </w:p>
    <w:p w:rsidR="00431312" w:rsidRDefault="00431312" w:rsidP="00431312">
      <w:pPr>
        <w:pStyle w:val="a4"/>
        <w:jc w:val="right"/>
        <w:rPr>
          <w:rFonts w:ascii="Times New Roman" w:eastAsia="Times New Roman" w:hAnsi="Times New Roman"/>
          <w:lang w:val="ba-RU"/>
        </w:rPr>
      </w:pPr>
      <w:r>
        <w:rPr>
          <w:rFonts w:ascii="Times New Roman" w:eastAsia="Times New Roman" w:hAnsi="Times New Roman"/>
          <w:lang w:val="ba-RU"/>
        </w:rPr>
        <w:t xml:space="preserve">муниципального района Хайбуллинский район </w:t>
      </w:r>
    </w:p>
    <w:p w:rsidR="00431312" w:rsidRDefault="00431312" w:rsidP="00431312">
      <w:pPr>
        <w:pStyle w:val="a4"/>
        <w:jc w:val="right"/>
        <w:rPr>
          <w:rFonts w:ascii="Times New Roman" w:eastAsia="Times New Roman" w:hAnsi="Times New Roman"/>
          <w:lang w:val="ba-RU"/>
        </w:rPr>
      </w:pPr>
      <w:r>
        <w:rPr>
          <w:rFonts w:ascii="Times New Roman" w:eastAsia="Times New Roman" w:hAnsi="Times New Roman"/>
          <w:lang w:val="ba-RU"/>
        </w:rPr>
        <w:t>Республики Башкортостан</w:t>
      </w:r>
    </w:p>
    <w:p w:rsidR="00431312" w:rsidRDefault="00431312" w:rsidP="00431312">
      <w:pPr>
        <w:pStyle w:val="a4"/>
        <w:jc w:val="right"/>
        <w:rPr>
          <w:rFonts w:ascii="Times New Roman" w:eastAsia="Times New Roman" w:hAnsi="Times New Roman"/>
          <w:lang w:val="ba-RU"/>
        </w:rPr>
      </w:pPr>
      <w:r>
        <w:rPr>
          <w:rFonts w:ascii="Times New Roman" w:eastAsia="Times New Roman" w:hAnsi="Times New Roman"/>
          <w:lang w:val="ba-RU"/>
        </w:rPr>
        <w:t>№19   от 24 май 2019  года</w:t>
      </w:r>
    </w:p>
    <w:p w:rsidR="00431312" w:rsidRDefault="00431312" w:rsidP="00431312">
      <w:pPr>
        <w:pStyle w:val="a4"/>
        <w:jc w:val="right"/>
        <w:rPr>
          <w:rFonts w:ascii="Times New Roman" w:eastAsia="Times New Roman" w:hAnsi="Times New Roman"/>
          <w:lang w:val="ba-RU"/>
        </w:rPr>
      </w:pPr>
    </w:p>
    <w:p w:rsidR="00431312" w:rsidRDefault="00431312" w:rsidP="00431312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/>
          <w:b/>
          <w:bCs/>
          <w:color w:val="000000"/>
          <w:lang w:val="ba-RU"/>
        </w:rPr>
      </w:pPr>
    </w:p>
    <w:p w:rsidR="00431312" w:rsidRDefault="00431312" w:rsidP="00431312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ПРОГРАММА</w:t>
      </w:r>
    </w:p>
    <w:p w:rsidR="00431312" w:rsidRDefault="00431312" w:rsidP="00431312">
      <w:pPr>
        <w:pStyle w:val="a4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Энергосбережение и повышение энергетической эффективности  в сельском поселении </w:t>
      </w:r>
      <w:r>
        <w:rPr>
          <w:rFonts w:ascii="Times New Roman" w:hAnsi="Times New Roman"/>
          <w:sz w:val="28"/>
          <w:szCs w:val="28"/>
          <w:lang w:val="ba-RU"/>
        </w:rPr>
        <w:t xml:space="preserve">Антинганский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r>
        <w:rPr>
          <w:rFonts w:ascii="Times New Roman" w:hAnsi="Times New Roman"/>
          <w:sz w:val="28"/>
          <w:szCs w:val="28"/>
          <w:lang w:val="ba-RU"/>
        </w:rPr>
        <w:t xml:space="preserve">Хайбуллинский </w:t>
      </w:r>
      <w:r>
        <w:rPr>
          <w:rFonts w:ascii="Times New Roman" w:hAnsi="Times New Roman"/>
          <w:sz w:val="28"/>
          <w:szCs w:val="28"/>
        </w:rPr>
        <w:t xml:space="preserve">  район  Республики Башкортостан на 201</w:t>
      </w:r>
      <w:r>
        <w:rPr>
          <w:rFonts w:ascii="Times New Roman" w:hAnsi="Times New Roman"/>
          <w:sz w:val="28"/>
          <w:szCs w:val="28"/>
          <w:lang w:val="ba-RU"/>
        </w:rPr>
        <w:t>9</w:t>
      </w:r>
      <w:r>
        <w:rPr>
          <w:rFonts w:ascii="Times New Roman" w:hAnsi="Times New Roman"/>
          <w:sz w:val="28"/>
          <w:szCs w:val="28"/>
        </w:rPr>
        <w:t xml:space="preserve"> год»</w:t>
      </w:r>
    </w:p>
    <w:p w:rsidR="00431312" w:rsidRDefault="00431312" w:rsidP="0043131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31312" w:rsidRDefault="00431312" w:rsidP="0043131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431312" w:rsidRDefault="00431312" w:rsidP="0043131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Энергосбережение и повышение энергетической эффективности  в сельском поселении </w:t>
      </w:r>
      <w:r>
        <w:rPr>
          <w:rFonts w:ascii="Times New Roman" w:hAnsi="Times New Roman"/>
          <w:sz w:val="28"/>
          <w:szCs w:val="28"/>
          <w:lang w:val="ba-RU"/>
        </w:rPr>
        <w:t xml:space="preserve">Антинганский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r>
        <w:rPr>
          <w:rFonts w:ascii="Times New Roman" w:hAnsi="Times New Roman"/>
          <w:sz w:val="28"/>
          <w:szCs w:val="28"/>
          <w:lang w:val="ba-RU"/>
        </w:rPr>
        <w:t xml:space="preserve">Хайбуллинский </w:t>
      </w:r>
      <w:r>
        <w:rPr>
          <w:rFonts w:ascii="Times New Roman" w:hAnsi="Times New Roman"/>
          <w:sz w:val="28"/>
          <w:szCs w:val="28"/>
        </w:rPr>
        <w:t xml:space="preserve">  район  Республики Башкортостан на 201</w:t>
      </w:r>
      <w:r>
        <w:rPr>
          <w:rFonts w:ascii="Times New Roman" w:hAnsi="Times New Roman"/>
          <w:sz w:val="28"/>
          <w:szCs w:val="28"/>
          <w:lang w:val="ba-RU"/>
        </w:rPr>
        <w:t>9</w:t>
      </w:r>
      <w:r>
        <w:rPr>
          <w:rFonts w:ascii="Times New Roman" w:hAnsi="Times New Roman"/>
          <w:sz w:val="28"/>
          <w:szCs w:val="28"/>
        </w:rPr>
        <w:t xml:space="preserve"> год»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000"/>
        <w:gridCol w:w="7495"/>
      </w:tblGrid>
      <w:tr w:rsidR="00431312" w:rsidTr="00431312">
        <w:trPr>
          <w:trHeight w:val="637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:rsidR="00431312" w:rsidRDefault="00431312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312" w:rsidRDefault="0043131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Энергосбережение и повышение энергетической эффективности  в сельском поселении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Антинганский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 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Хайбуллинский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район  Республики Башкортостан на 201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  <w:tr w:rsidR="00431312" w:rsidTr="00431312">
        <w:trPr>
          <w:trHeight w:val="1417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Правовые основания для разработки</w:t>
            </w:r>
          </w:p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312" w:rsidRDefault="004313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закон от 23 ноября 2009года №261-ФЗ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431312" w:rsidRDefault="004313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закон от 06 ноября 2003года №131-ФЗ «Об общих принципах организации местного самоуправления в Российской Федерации»</w:t>
            </w:r>
          </w:p>
          <w:p w:rsidR="00431312" w:rsidRDefault="0043131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Постановление Правительства РФ от 31.12.2009 г №1225  «О требованиях к разработке региональных и муниципальных программ в области энергосбережения и повышения энергетической эффективности.»</w:t>
            </w:r>
          </w:p>
        </w:tc>
      </w:tr>
      <w:tr w:rsidR="00431312" w:rsidTr="00431312">
        <w:trPr>
          <w:trHeight w:val="347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312" w:rsidRDefault="004313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СП Антинганский сельсовет муниципального района Хайбуллинский  район РБ</w:t>
            </w:r>
          </w:p>
        </w:tc>
      </w:tr>
      <w:tr w:rsidR="00431312" w:rsidTr="00431312">
        <w:trPr>
          <w:trHeight w:val="607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312" w:rsidRDefault="004313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СП Антинганский й сельсовет муниципального района Хайбуллинский  район</w:t>
            </w:r>
          </w:p>
        </w:tc>
      </w:tr>
      <w:tr w:rsidR="00431312" w:rsidTr="00431312">
        <w:trPr>
          <w:trHeight w:val="835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 и задачи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312" w:rsidRDefault="004313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 Программы:</w:t>
            </w:r>
          </w:p>
          <w:p w:rsidR="00431312" w:rsidRDefault="004313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обеспечение устойчивого функционирования и развития экономики сельского поселения за счет эффективного использования энергетических ресурсов;</w:t>
            </w:r>
          </w:p>
          <w:p w:rsidR="00431312" w:rsidRDefault="004313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снижение финансовой нагрузки на бюджет сельского поселения за счет сокращения расходов на энергоресурсы;</w:t>
            </w:r>
          </w:p>
          <w:p w:rsidR="00431312" w:rsidRDefault="004313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снижение платежей потребителей, в том числе бюджетных организации за энергетические ресурсы.</w:t>
            </w:r>
          </w:p>
          <w:p w:rsidR="00431312" w:rsidRDefault="004313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Задачи Программы:</w:t>
            </w:r>
          </w:p>
          <w:p w:rsidR="00431312" w:rsidRDefault="004313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создание условий для перевода экономики на энергосберегающий путь развития и снижение негативных последствий роста цен на основные виды топлива;</w:t>
            </w:r>
          </w:p>
          <w:p w:rsidR="00431312" w:rsidRDefault="004313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снижение к 2019 году объемов производства, транспортировки и удельного потребления энергетических ресурсов в экономике сельского поселения;</w:t>
            </w:r>
          </w:p>
          <w:p w:rsidR="00431312" w:rsidRDefault="004313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-обеспечение надежности и устойчивости энергообеспечения потребителей сельского поселения</w:t>
            </w:r>
          </w:p>
        </w:tc>
      </w:tr>
      <w:tr w:rsidR="00431312" w:rsidTr="00431312">
        <w:trPr>
          <w:trHeight w:val="568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Срок реализации</w:t>
            </w:r>
          </w:p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 год</w:t>
            </w:r>
          </w:p>
        </w:tc>
      </w:tr>
      <w:tr w:rsidR="00431312" w:rsidTr="00431312">
        <w:trPr>
          <w:trHeight w:val="960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Прогнозные результаты Программы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312" w:rsidRDefault="004313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Снижение объемов потребления энергоносителей в отраслях бюджетной сферы в 2019 году на 5%.</w:t>
            </w:r>
          </w:p>
        </w:tc>
      </w:tr>
      <w:tr w:rsidR="00431312" w:rsidTr="00431312">
        <w:trPr>
          <w:trHeight w:val="960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Источники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финансирования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Программы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312" w:rsidRDefault="004313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Собственные средства предприятий; средства, предусмотренные сметами расходов органов исполнительной власти и бюджетных организаций, обеспечивающих выполнение мероприятий по энергосбережению, экономия средств, достигнутая за счет дополнительного по сравнению с учтенным при планировании бюджетных ассигнований снижением потребления энергоресурсов</w:t>
            </w:r>
          </w:p>
        </w:tc>
      </w:tr>
      <w:tr w:rsidR="00431312" w:rsidTr="00431312">
        <w:trPr>
          <w:trHeight w:val="1437"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Ожидаемые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конечные результаты реализации Программы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312" w:rsidRDefault="00431312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Снижение объемов потребления энергоносителей к уровню 2018 года не менее 12 % в бюджетных отраслях путем оптимизации и внедрением энергосберегающих технологий.</w:t>
            </w:r>
          </w:p>
        </w:tc>
      </w:tr>
    </w:tbl>
    <w:p w:rsidR="00431312" w:rsidRDefault="00431312" w:rsidP="00431312">
      <w:pPr>
        <w:pStyle w:val="a4"/>
        <w:jc w:val="center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</w:rPr>
      </w:pPr>
    </w:p>
    <w:p w:rsidR="00431312" w:rsidRDefault="00431312" w:rsidP="00431312">
      <w:pPr>
        <w:pStyle w:val="a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napToGrid w:val="0"/>
          <w:color w:val="000000"/>
          <w:sz w:val="24"/>
          <w:szCs w:val="24"/>
        </w:rPr>
        <w:t>Введение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Энергосбережение-комплекс мер или действий, предпринимаемых для обеспечения более эффективного использования энергетических ресурсов.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Стратегическая цель энергосбережения одна и следует из его определения -это повышение энергоэффективности  в бюджетном секторе сельского поселения.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31312" w:rsidRDefault="00431312" w:rsidP="00431312">
      <w:pPr>
        <w:pStyle w:val="a4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napToGrid w:val="0"/>
          <w:color w:val="000000"/>
          <w:sz w:val="24"/>
          <w:szCs w:val="24"/>
        </w:rPr>
        <w:t>Основные направления энергосбережения:</w:t>
      </w:r>
    </w:p>
    <w:p w:rsidR="00431312" w:rsidRDefault="00431312" w:rsidP="00431312">
      <w:pPr>
        <w:pStyle w:val="a4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1.Введение приборного учета потребления энергетических ресурсов. В условиях ограниченности бюджетных средств первостепенное значение имеют учет и контроль за расходованием энергоресурсов, а также возможность влиять на количество их потребления. Учет позволяет дать информацию о реальном потреблении энергетических ресурсов, достичь экономии средств, обусловленной исключением излишне предъявляемой платы за не потребленные энергоресурсы. Наличие учета позволяет регулировать потребление энергетических ресурсов в зависимости от времени суток и температуры наружного воздуха.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2. Энергосбережение в зданиях. Использование не только более эффективных лампочек, но и выполнение определенных требований к помещению, например, вплоть до использования светлой или светоотражающей окраски.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Проведение энерго-и ресурсосберегающих мероприятий в бюджетном секторе хозяйства является необходимым условием развития сельского поселения  (проведен  энергоаудит). Повышение эффективности использования энергии позволит решить целый ряд энергетических проблем, накопившихся к настоящему времени. Среди них основными являются следующие: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1) Высокий уровень потерь энергии и ресурсов. Повышенные потери при оказании коммунальных услуг присутствуют на всех стадиях производства, передачи, распределения и потребления энергии. Потери создают повышенную финансовую нагрузку на потребителей ресурсов на бюджете сельского поселения.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2) Рост тарифного давления на население и организации бюджетной сферы. Низкая эффективность энергетического хозяйства, повышение цен на энергоносители </w:t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обусловливают рост тарифов на энергетические ресурсы, потребляемые сельским поселением, и рост тарифного давления на население и организации бюджетной сферы.</w:t>
      </w:r>
    </w:p>
    <w:p w:rsidR="00431312" w:rsidRDefault="00431312" w:rsidP="00431312">
      <w:pPr>
        <w:pStyle w:val="a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napToGrid w:val="0"/>
          <w:color w:val="000000"/>
          <w:sz w:val="24"/>
          <w:szCs w:val="24"/>
        </w:rPr>
        <w:t>2. Содержание проблемы и обоснование необходимости ее решения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Следствием низкой эффективности использования коммунальных ресурсов бюджетными потребителями являются высокие издержки бюджета сельского поселения на энергообеспечение.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 Основными направлениями повышения энергоэффективности потребления является выполнение малозатратных мероприятий, направленных на ликвидацию причин неэффективной эксплуатации энергетического оборудования и инженерных сетей; реализация быстроокупаемых энергосберегающих технологий с учетом особенностей каждого объекта.</w:t>
      </w:r>
    </w:p>
    <w:p w:rsidR="00431312" w:rsidRDefault="00431312" w:rsidP="00431312">
      <w:pPr>
        <w:pStyle w:val="Style1"/>
        <w:widowControl/>
        <w:spacing w:line="240" w:lineRule="auto"/>
        <w:rPr>
          <w:rStyle w:val="FontStyle11"/>
          <w:i w:val="0"/>
          <w:sz w:val="20"/>
          <w:szCs w:val="20"/>
        </w:rPr>
      </w:pPr>
      <w:r>
        <w:rPr>
          <w:rStyle w:val="FontStyle11"/>
          <w:sz w:val="20"/>
          <w:szCs w:val="20"/>
        </w:rPr>
        <w:tab/>
        <w:t>Повышение эффективности использования энергии и других видов ресурсов требует координации действий поставщиков и потребителей ресурсов.</w:t>
      </w:r>
    </w:p>
    <w:p w:rsidR="00431312" w:rsidRDefault="00431312" w:rsidP="00431312">
      <w:pPr>
        <w:pStyle w:val="Style1"/>
        <w:widowControl/>
        <w:spacing w:line="240" w:lineRule="auto"/>
        <w:rPr>
          <w:i/>
        </w:rPr>
      </w:pPr>
      <w:r>
        <w:rPr>
          <w:rStyle w:val="FontStyle11"/>
          <w:sz w:val="20"/>
          <w:szCs w:val="20"/>
        </w:rPr>
        <w:tab/>
        <w:t xml:space="preserve"> Принятый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  <w:t>Приоритетное направление Программы основано на необходимости решения следующих проблем: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snapToGrid w:val="0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снижение энергозатрат за счет применения современных материалов и оборудования,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оснащение потребителей приборами и системами учета и регулирования расхода энергоресурсов и реализация эффективных, быстроокупаемых и малозатратных энергосберегающих проектов.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snapToGrid w:val="0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контроль за ресурсопотреблением со стороны руководителей бюджетных организаций.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Решение задач по реализации Программы требует согласованных действий органов исполнительной власти и представительных органов муниципальных образований.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ab/>
      </w:r>
    </w:p>
    <w:p w:rsidR="00431312" w:rsidRDefault="00431312" w:rsidP="00431312">
      <w:pPr>
        <w:pStyle w:val="a4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3. Цель и задачи Программы, сроки реализации Программы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ab/>
        <w:t>Основной целью Программы является повышение энергоэффективности использования в сельском поселении топливно-энергетических ресурсов.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ab/>
        <w:t>Энергоэффективность– это отношение фактического значения показателя использования энергетических ресурсов к теоретически достижимому.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ab/>
        <w:t>Основными задачами Программы являются: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сокращение в сельском поселении потерь энергетических ресурсов при их потреблении;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устойчивое обеспечение населения сельского поселения коммунальными услугами;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ab/>
        <w:t>Организация проведения работ.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ab/>
        <w:t>В качестве поставщиков оборудования и подрядчиков монтажных работ привлекаются специализированные организации на конкурсной основе (или по котировкам).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ab/>
        <w:t>По выполнению договорных объемов составляется Акт выполненных работ, который подлежит подписанию комиссией в составе представителей исполнителя работ, заказчика работ и руководителя бюджетной организации, на чьем объекте осуществлены энергосберегающие мероприятия.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Механизм реализации Программы включает в себя организационные мероприятия, обеспечивающие управление процессами планирования, исполнения и контроля на всех стадиях освоения Программы, проведения мероприятий по информационному обеспечению и пропаганде энергосбережения.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Сроки реализации Программы - 2019  год</w:t>
      </w:r>
    </w:p>
    <w:p w:rsidR="00431312" w:rsidRDefault="00431312" w:rsidP="00431312">
      <w:pPr>
        <w:pStyle w:val="a4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</w:p>
    <w:p w:rsidR="00431312" w:rsidRDefault="00431312" w:rsidP="00431312">
      <w:pPr>
        <w:pStyle w:val="a4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</w:p>
    <w:p w:rsidR="00431312" w:rsidRDefault="00431312" w:rsidP="00431312">
      <w:pPr>
        <w:pStyle w:val="a4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4.Механизм финансирования Программы</w:t>
      </w:r>
    </w:p>
    <w:p w:rsidR="00431312" w:rsidRDefault="00431312" w:rsidP="00431312">
      <w:pPr>
        <w:pStyle w:val="Style4"/>
        <w:widowControl/>
        <w:spacing w:line="240" w:lineRule="auto"/>
        <w:jc w:val="center"/>
        <w:rPr>
          <w:rStyle w:val="FontStyle12"/>
          <w:b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</w:p>
    <w:p w:rsidR="00431312" w:rsidRDefault="00431312" w:rsidP="00431312">
      <w:pPr>
        <w:jc w:val="both"/>
        <w:rPr>
          <w:sz w:val="24"/>
          <w:szCs w:val="24"/>
        </w:rPr>
      </w:pPr>
      <w:r>
        <w:lastRenderedPageBreak/>
        <w:t>       Финансирование Программы осуществляется за счет средств местного бюджета. Общий объем финансирования мероприятий Программы составит:</w:t>
      </w:r>
    </w:p>
    <w:p w:rsidR="00431312" w:rsidRDefault="00431312" w:rsidP="00431312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2019 - 50 тыс.руб.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- заключенный заказчиком на основе конкурсов (котировок) договор на выполнение поставок оборудования и (или)подрядных работ;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- сметные расчеты по конкретным объектам и видам работ согласно графика финансирования, утвержденных заказчиком работ.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ab/>
        <w:t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ab/>
        <w:t>Объемы финансирования мероприятий Программы из бюджета сельского поселения подлежат уточнению при формировании бюджета на соответствующий финансовый год.</w:t>
      </w:r>
    </w:p>
    <w:p w:rsidR="00431312" w:rsidRDefault="00431312" w:rsidP="00431312">
      <w:pPr>
        <w:pStyle w:val="a4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31312" w:rsidRDefault="00431312" w:rsidP="00431312">
      <w:pPr>
        <w:pStyle w:val="a4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5.Ожидаемые конечные результаты.</w:t>
      </w:r>
    </w:p>
    <w:p w:rsidR="00431312" w:rsidRDefault="00431312" w:rsidP="00431312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Социальная эффективность мер, предусмотренных Программой, заключается в следующем: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- вовлечение местных энергоресурсов в хозяйственный оборот, оснащение организаций приборами и системами учета и регулирования расхода энергоресурсов, техническое перевооружение с целью снижения;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- достижение предусмотренных объемов экономии энергоресурсов создаст реальные предпосылки для стабилизации экономической ситуации в бюджетной сфере.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431312" w:rsidRDefault="00431312" w:rsidP="00431312">
      <w:pPr>
        <w:pStyle w:val="a4"/>
        <w:ind w:firstLine="708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Перераспределение высвобожденных лимитов по электроэнергии, а также финансовых ресурсов от экономии по результатам реализации Программы позволит решить иные актуальные проблемы бюджетных организаций сельского поселения.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431312" w:rsidRDefault="00431312" w:rsidP="00431312">
      <w:pPr>
        <w:pStyle w:val="a4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</w:p>
    <w:p w:rsidR="00431312" w:rsidRDefault="00431312" w:rsidP="00431312">
      <w:pPr>
        <w:pStyle w:val="a4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6.Организация управления реализацией Программы</w:t>
      </w:r>
    </w:p>
    <w:p w:rsidR="00431312" w:rsidRDefault="00431312" w:rsidP="00431312">
      <w:pPr>
        <w:pStyle w:val="a4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и контроль за ходом ее выполнения.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ab/>
        <w:t>Управление процессом реализации Программы осуществляет заказчик Программы.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Контроль за ходом выполнения Программы осуществляют Совет сельского поселения, Администрация сельского поселения.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31312" w:rsidRDefault="00431312" w:rsidP="00431312">
      <w:pPr>
        <w:pStyle w:val="a4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Приложение №1</w:t>
      </w:r>
    </w:p>
    <w:p w:rsidR="00431312" w:rsidRDefault="00431312" w:rsidP="00431312">
      <w:pPr>
        <w:pStyle w:val="a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</w:rPr>
        <w:t>Перечень мероприятий Программы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"/>
        <w:gridCol w:w="476"/>
        <w:gridCol w:w="2203"/>
        <w:gridCol w:w="1187"/>
        <w:gridCol w:w="1799"/>
        <w:gridCol w:w="1897"/>
        <w:gridCol w:w="2031"/>
      </w:tblGrid>
      <w:tr w:rsidR="00431312" w:rsidTr="00431312">
        <w:trPr>
          <w:gridBefore w:val="1"/>
          <w:wBefore w:w="19" w:type="pct"/>
          <w:cantSplit/>
          <w:trHeight w:val="116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0"/>
                <w:szCs w:val="20"/>
              </w:rPr>
              <w:t>Ожидаемые результаты реализации мероприятий программы</w:t>
            </w:r>
          </w:p>
        </w:tc>
      </w:tr>
      <w:tr w:rsidR="00431312" w:rsidTr="00431312">
        <w:trPr>
          <w:gridBefore w:val="1"/>
          <w:wBefore w:w="19" w:type="pct"/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Проведение информационно-разъяснительной работы по вопросам энергосбережения в бюджетных учреждениях сельского поселения и среди населения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Повышение уровня  знаний населения в области энергосбережения</w:t>
            </w:r>
          </w:p>
        </w:tc>
      </w:tr>
      <w:tr w:rsidR="00431312" w:rsidTr="00431312">
        <w:trPr>
          <w:gridBefore w:val="1"/>
          <w:wBefore w:w="19" w:type="pct"/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Назначение ответственных лиц за соблюдением режима подачи тепла и электрической энергии, контроль за своевременным отключением оборудования, компьютерной техники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12" w:rsidRDefault="00431312">
            <w:pPr>
              <w:pStyle w:val="Style6"/>
              <w:widowControl/>
              <w:rPr>
                <w:rStyle w:val="FontStyle14"/>
                <w:lang w:eastAsia="en-US"/>
              </w:rPr>
            </w:pPr>
            <w:r>
              <w:rPr>
                <w:rStyle w:val="FontStyle14"/>
                <w:lang w:eastAsia="en-US"/>
              </w:rPr>
              <w:t>Повышение ответственнос</w:t>
            </w:r>
            <w:r>
              <w:rPr>
                <w:rStyle w:val="FontStyle14"/>
                <w:lang w:eastAsia="en-US"/>
              </w:rPr>
              <w:softHyphen/>
              <w:t>ти за энергосбережение</w:t>
            </w:r>
          </w:p>
        </w:tc>
      </w:tr>
      <w:tr w:rsidR="00431312" w:rsidTr="00431312">
        <w:trPr>
          <w:gridBefore w:val="1"/>
          <w:wBefore w:w="19" w:type="pct"/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Установка приборов учета потребления энергетических ресурсов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До 5%</w:t>
            </w:r>
          </w:p>
        </w:tc>
      </w:tr>
      <w:tr w:rsidR="00431312" w:rsidTr="00431312">
        <w:trPr>
          <w:gridBefore w:val="1"/>
          <w:wBefore w:w="19" w:type="pct"/>
          <w:cantSplit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Осуществлять своевременную плановую проверку работы приборов учета; в случае выхода из строя приборов учета своевременно принимать меры по устранению неполадок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Повышение ответственнос</w:t>
            </w:r>
            <w:r>
              <w:rPr>
                <w:rStyle w:val="FontStyle14"/>
                <w:sz w:val="24"/>
                <w:szCs w:val="24"/>
              </w:rPr>
              <w:softHyphen/>
              <w:t>ти за энергосбережение</w:t>
            </w:r>
          </w:p>
        </w:tc>
      </w:tr>
      <w:tr w:rsidR="00431312" w:rsidTr="00431312">
        <w:trPr>
          <w:trHeight w:val="1251"/>
        </w:trPr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312" w:rsidRDefault="00431312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t>5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312" w:rsidRDefault="00431312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lang w:eastAsia="en-US"/>
              </w:rPr>
            </w:pPr>
            <w:r>
              <w:t xml:space="preserve">Приобретение и установка энергосберегающих ламп для уличного </w:t>
            </w:r>
            <w:r>
              <w:lastRenderedPageBreak/>
              <w:t>освещения, ремонт приборов уличного освещения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312" w:rsidRDefault="00431312">
            <w:pPr>
              <w:pStyle w:val="Style7"/>
              <w:spacing w:line="240" w:lineRule="auto"/>
              <w:ind w:firstLine="0"/>
              <w:jc w:val="left"/>
              <w:rPr>
                <w:rStyle w:val="FontStyle12"/>
                <w:lang w:eastAsia="en-US"/>
              </w:rPr>
            </w:pPr>
            <w:r>
              <w:rPr>
                <w:rStyle w:val="FontStyle12"/>
                <w:lang w:eastAsia="en-US"/>
              </w:rPr>
              <w:lastRenderedPageBreak/>
              <w:t>2019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312" w:rsidRDefault="00431312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1312" w:rsidRDefault="004313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– 50 тысяч руб </w:t>
            </w:r>
          </w:p>
          <w:p w:rsidR="00431312" w:rsidRDefault="00431312">
            <w:pPr>
              <w:pStyle w:val="a4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  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312" w:rsidRDefault="00431312">
            <w:pPr>
              <w:rPr>
                <w:sz w:val="24"/>
                <w:szCs w:val="24"/>
              </w:rPr>
            </w:pPr>
            <w:r>
              <w:rPr>
                <w:rStyle w:val="FontStyle12"/>
                <w:lang w:eastAsia="en-US"/>
              </w:rPr>
              <w:t>Уменьшение затрат на оплату за потребление электроэнергии</w:t>
            </w:r>
          </w:p>
        </w:tc>
      </w:tr>
    </w:tbl>
    <w:p w:rsidR="00431312" w:rsidRDefault="00431312" w:rsidP="00431312">
      <w:pPr>
        <w:rPr>
          <w:color w:val="000000"/>
          <w:lang w:eastAsia="en-US"/>
        </w:rPr>
        <w:sectPr w:rsidR="00431312">
          <w:pgSz w:w="11906" w:h="16838"/>
          <w:pgMar w:top="1134" w:right="850" w:bottom="1134" w:left="1701" w:header="708" w:footer="708" w:gutter="0"/>
          <w:cols w:space="720"/>
        </w:sectPr>
      </w:pPr>
    </w:p>
    <w:p w:rsidR="00B9429E" w:rsidRDefault="00B9429E"/>
    <w:sectPr w:rsidR="00B9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D25EB"/>
    <w:multiLevelType w:val="hybridMultilevel"/>
    <w:tmpl w:val="F696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31312"/>
    <w:rsid w:val="00431312"/>
    <w:rsid w:val="00B9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3131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31312"/>
    <w:rPr>
      <w:rFonts w:ascii="Times New Roman" w:eastAsia="Times New Roman" w:hAnsi="Times New Roman" w:cs="Times New Roman"/>
      <w:sz w:val="30"/>
      <w:szCs w:val="24"/>
    </w:rPr>
  </w:style>
  <w:style w:type="character" w:customStyle="1" w:styleId="a3">
    <w:name w:val="Без интервала Знак"/>
    <w:basedOn w:val="a0"/>
    <w:link w:val="a4"/>
    <w:uiPriority w:val="1"/>
    <w:locked/>
    <w:rsid w:val="00431312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431312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Style1">
    <w:name w:val="Style1"/>
    <w:basedOn w:val="a"/>
    <w:rsid w:val="00431312"/>
    <w:pPr>
      <w:widowControl w:val="0"/>
      <w:autoSpaceDE w:val="0"/>
      <w:autoSpaceDN w:val="0"/>
      <w:adjustRightInd w:val="0"/>
      <w:spacing w:after="0" w:line="200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31312"/>
    <w:pPr>
      <w:widowControl w:val="0"/>
      <w:autoSpaceDE w:val="0"/>
      <w:autoSpaceDN w:val="0"/>
      <w:adjustRightInd w:val="0"/>
      <w:spacing w:after="0" w:line="198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31312"/>
    <w:pPr>
      <w:widowControl w:val="0"/>
      <w:autoSpaceDE w:val="0"/>
      <w:autoSpaceDN w:val="0"/>
      <w:adjustRightInd w:val="0"/>
      <w:spacing w:after="0" w:line="21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4313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431312"/>
    <w:rPr>
      <w:rFonts w:ascii="Times New Roman" w:hAnsi="Times New Roman" w:cs="Times New Roman" w:hint="default"/>
      <w:i/>
      <w:iCs/>
      <w:color w:val="000000"/>
      <w:sz w:val="16"/>
      <w:szCs w:val="16"/>
    </w:rPr>
  </w:style>
  <w:style w:type="character" w:customStyle="1" w:styleId="FontStyle12">
    <w:name w:val="Font Style12"/>
    <w:basedOn w:val="a0"/>
    <w:rsid w:val="00431312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14">
    <w:name w:val="Font Style14"/>
    <w:basedOn w:val="a0"/>
    <w:rsid w:val="00431312"/>
    <w:rPr>
      <w:rFonts w:ascii="Times New Roman" w:hAnsi="Times New Roman" w:cs="Times New Roman" w:hint="default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2010</Words>
  <Characters>11459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2019-06-06T10:11:00Z</dcterms:created>
  <dcterms:modified xsi:type="dcterms:W3CDTF">2019-06-06T10:12:00Z</dcterms:modified>
</cp:coreProperties>
</file>