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AA" w:rsidRPr="00E9441D" w:rsidRDefault="00596AAA" w:rsidP="00596AA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366146">
        <w:rPr>
          <w:rFonts w:ascii="Times New Roman" w:eastAsia="Calibri" w:hAnsi="Times New Roman" w:cs="Times New Roman"/>
          <w:sz w:val="24"/>
          <w:szCs w:val="24"/>
          <w:lang w:eastAsia="en-US"/>
        </w:rPr>
        <w:t>ЛЬСКОГО ПОСЕЛЕНИЯ АНТИНГАНСКИЙ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596AAA" w:rsidRPr="00E9441D" w:rsidRDefault="00596AAA" w:rsidP="00596AA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596AAA" w:rsidRPr="00E9441D" w:rsidRDefault="00596AAA" w:rsidP="00596AAA">
      <w:pPr>
        <w:spacing w:after="0"/>
        <w:jc w:val="center"/>
        <w:rPr>
          <w:rFonts w:ascii="Times New Roman" w:eastAsia="Calibri" w:hAnsi="Times New Roman" w:cs="Times New Roman"/>
          <w:sz w:val="24"/>
          <w:szCs w:val="24"/>
          <w:lang w:eastAsia="en-US"/>
        </w:rPr>
      </w:pPr>
    </w:p>
    <w:p w:rsidR="00086DD2" w:rsidRPr="00366146" w:rsidRDefault="00596AAA" w:rsidP="00086DD2">
      <w:pPr>
        <w:spacing w:after="0"/>
        <w:jc w:val="center"/>
        <w:rPr>
          <w:rFonts w:ascii="Times New Roman" w:eastAsia="Calibri" w:hAnsi="Times New Roman" w:cs="Times New Roman"/>
          <w:b/>
          <w:sz w:val="24"/>
          <w:szCs w:val="24"/>
          <w:lang w:eastAsia="en-US"/>
        </w:rPr>
      </w:pPr>
      <w:r w:rsidRPr="00E9441D">
        <w:rPr>
          <w:rFonts w:ascii="Times New Roman" w:eastAsia="Calibri" w:hAnsi="Times New Roman" w:cs="Times New Roman"/>
          <w:sz w:val="24"/>
          <w:szCs w:val="24"/>
          <w:lang w:eastAsia="en-US"/>
        </w:rPr>
        <w:t>ПОСТАНОВЛЕНИЕ</w:t>
      </w:r>
      <w:r w:rsidR="00086DD2">
        <w:rPr>
          <w:rFonts w:ascii="Times New Roman" w:eastAsia="Calibri" w:hAnsi="Times New Roman" w:cs="Times New Roman"/>
          <w:sz w:val="24"/>
          <w:szCs w:val="24"/>
          <w:lang w:eastAsia="en-US"/>
        </w:rPr>
        <w:t xml:space="preserve"> </w:t>
      </w:r>
      <w:r w:rsidR="00086DD2">
        <w:rPr>
          <w:rFonts w:ascii="Times New Roman" w:eastAsia="Calibri" w:hAnsi="Times New Roman" w:cs="Times New Roman"/>
          <w:b/>
          <w:sz w:val="24"/>
          <w:szCs w:val="24"/>
          <w:lang w:eastAsia="en-US"/>
        </w:rPr>
        <w:t>№36 от 15.04.19</w:t>
      </w:r>
    </w:p>
    <w:p w:rsidR="00596AAA" w:rsidRPr="00E9441D" w:rsidRDefault="00596AAA" w:rsidP="00596AAA">
      <w:pPr>
        <w:jc w:val="center"/>
        <w:rPr>
          <w:rFonts w:ascii="Times New Roman" w:eastAsia="Calibri" w:hAnsi="Times New Roman" w:cs="Times New Roman"/>
          <w:sz w:val="24"/>
          <w:szCs w:val="24"/>
          <w:lang w:eastAsia="en-US"/>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366146">
        <w:rPr>
          <w:rFonts w:ascii="Times New Roman" w:hAnsi="Times New Roman" w:cs="Times New Roman"/>
          <w:sz w:val="24"/>
          <w:szCs w:val="24"/>
        </w:rPr>
        <w:t xml:space="preserve"> оставляю за собой</w:t>
      </w: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366146">
        <w:rPr>
          <w:rFonts w:ascii="Times New Roman" w:hAnsi="Times New Roman" w:cs="Times New Roman"/>
          <w:sz w:val="24"/>
          <w:szCs w:val="24"/>
        </w:rPr>
        <w:t xml:space="preserve">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366146">
        <w:rPr>
          <w:rFonts w:ascii="Times New Roman" w:hAnsi="Times New Roman" w:cs="Times New Roman"/>
          <w:sz w:val="24"/>
          <w:szCs w:val="24"/>
        </w:rPr>
        <w:t>М.Ф.Сурина</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5461B3" w:rsidRPr="00892343" w:rsidRDefault="005461B3"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9A1E24" w:rsidRPr="00892343" w:rsidRDefault="00086DD2" w:rsidP="009A1E2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15.04.</w:t>
      </w:r>
      <w:r w:rsidR="00596AAA" w:rsidRPr="00596AAA">
        <w:rPr>
          <w:rFonts w:ascii="Times New Roman" w:hAnsi="Times New Roman" w:cs="Times New Roman"/>
          <w:sz w:val="24"/>
          <w:szCs w:val="24"/>
        </w:rPr>
        <w:t xml:space="preserve">2019 года № </w:t>
      </w:r>
      <w:bookmarkStart w:id="0" w:name="_GoBack"/>
      <w:bookmarkEnd w:id="0"/>
      <w:r>
        <w:rPr>
          <w:rFonts w:ascii="Times New Roman" w:hAnsi="Times New Roman" w:cs="Times New Roman"/>
          <w:sz w:val="24"/>
          <w:szCs w:val="24"/>
        </w:rPr>
        <w:t>36</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366146">
        <w:rPr>
          <w:rFonts w:ascii="Times New Roman" w:hAnsi="Times New Roman" w:cs="Times New Roman"/>
          <w:sz w:val="24"/>
          <w:szCs w:val="24"/>
        </w:rPr>
        <w:t xml:space="preserve">ельском поселении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366146">
        <w:rPr>
          <w:rFonts w:ascii="Times New Roman" w:eastAsia="Calibri" w:hAnsi="Times New Roman" w:cs="Times New Roman"/>
          <w:sz w:val="24"/>
          <w:szCs w:val="24"/>
          <w:lang w:eastAsia="en-US"/>
        </w:rPr>
        <w:t xml:space="preserve">льского поселения </w:t>
      </w:r>
      <w:proofErr w:type="spellStart"/>
      <w:r w:rsidR="00366146">
        <w:rPr>
          <w:rFonts w:ascii="Times New Roman" w:eastAsia="Calibri" w:hAnsi="Times New Roman" w:cs="Times New Roman"/>
          <w:sz w:val="24"/>
          <w:szCs w:val="24"/>
          <w:lang w:eastAsia="en-US"/>
        </w:rPr>
        <w:t>Антинганский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366146"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366146">
        <w:rPr>
          <w:rFonts w:ascii="Times New Roman" w:eastAsia="Calibri" w:hAnsi="Times New Roman" w:cs="Times New Roman"/>
          <w:sz w:val="24"/>
          <w:szCs w:val="24"/>
          <w:lang w:val="en-US" w:eastAsia="en-US"/>
        </w:rPr>
        <w:t>sp</w:t>
      </w:r>
      <w:r w:rsidR="00366146" w:rsidRPr="00366146">
        <w:rPr>
          <w:rFonts w:ascii="Times New Roman" w:eastAsia="Calibri" w:hAnsi="Times New Roman" w:cs="Times New Roman"/>
          <w:sz w:val="24"/>
          <w:szCs w:val="24"/>
          <w:lang w:eastAsia="en-US"/>
        </w:rPr>
        <w:t>_</w:t>
      </w:r>
      <w:proofErr w:type="spellStart"/>
      <w:r w:rsidR="00366146">
        <w:rPr>
          <w:rFonts w:ascii="Times New Roman" w:eastAsia="Calibri" w:hAnsi="Times New Roman" w:cs="Times New Roman"/>
          <w:sz w:val="24"/>
          <w:szCs w:val="24"/>
          <w:lang w:val="en-US" w:eastAsia="en-US"/>
        </w:rPr>
        <w:t>antungan</w:t>
      </w:r>
      <w:proofErr w:type="spellEnd"/>
      <w:r w:rsidR="00366146" w:rsidRPr="00366146">
        <w:rPr>
          <w:rFonts w:ascii="Times New Roman" w:eastAsia="Calibri" w:hAnsi="Times New Roman" w:cs="Times New Roman"/>
          <w:sz w:val="24"/>
          <w:szCs w:val="24"/>
          <w:lang w:eastAsia="en-US"/>
        </w:rPr>
        <w:t>.</w:t>
      </w:r>
      <w:proofErr w:type="spellStart"/>
      <w:r w:rsidR="00366146">
        <w:rPr>
          <w:rFonts w:ascii="Times New Roman" w:eastAsia="Calibri" w:hAnsi="Times New Roman" w:cs="Times New Roman"/>
          <w:sz w:val="24"/>
          <w:szCs w:val="24"/>
          <w:lang w:val="en-US" w:eastAsia="en-US"/>
        </w:rPr>
        <w:t>ru</w:t>
      </w:r>
      <w:proofErr w:type="spellEnd"/>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w:t>
      </w:r>
      <w:r w:rsidR="00366146">
        <w:rPr>
          <w:rFonts w:ascii="Times New Roman" w:hAnsi="Times New Roman" w:cs="Times New Roman"/>
          <w:sz w:val="24"/>
          <w:szCs w:val="24"/>
        </w:rPr>
        <w:t xml:space="preserve">ельском поселении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w:t>
      </w:r>
      <w:r w:rsidRPr="00892343">
        <w:rPr>
          <w:rFonts w:ascii="Times New Roman" w:hAnsi="Times New Roman" w:cs="Times New Roman"/>
          <w:sz w:val="24"/>
          <w:szCs w:val="24"/>
        </w:rPr>
        <w:lastRenderedPageBreak/>
        <w:t xml:space="preserve">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61B3">
        <w:rPr>
          <w:rFonts w:ascii="Times New Roman" w:eastAsia="Calibri" w:hAnsi="Times New Roman" w:cs="Times New Roman"/>
          <w:sz w:val="24"/>
          <w:szCs w:val="24"/>
          <w:lang w:eastAsia="en-US"/>
        </w:rPr>
        <w:t>который</w:t>
      </w:r>
      <w:proofErr w:type="gramEnd"/>
      <w:r w:rsidRPr="005461B3">
        <w:rPr>
          <w:rFonts w:ascii="Times New Roman" w:eastAsia="Calibri" w:hAnsi="Times New Roman" w:cs="Times New Roman"/>
          <w:sz w:val="24"/>
          <w:szCs w:val="24"/>
          <w:lang w:eastAsia="en-US"/>
        </w:rPr>
        <w:t xml:space="preserve">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D66AFA" w:rsidP="005461B3">
      <w:pPr>
        <w:spacing w:after="0" w:line="240" w:lineRule="auto"/>
        <w:ind w:firstLine="709"/>
        <w:jc w:val="both"/>
        <w:rPr>
          <w:rFonts w:ascii="Times New Roman" w:eastAsia="Calibri" w:hAnsi="Times New Roman" w:cs="Times New Roman"/>
          <w:sz w:val="24"/>
          <w:szCs w:val="24"/>
          <w:lang w:eastAsia="en-US"/>
        </w:rPr>
      </w:pPr>
      <w:hyperlink r:id="rId6"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5461B3">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2"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5461B3">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7"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366146">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9A1E24" w:rsidRPr="00892343" w:rsidRDefault="00366146" w:rsidP="009A1E2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453812</w:t>
      </w:r>
      <w:r w:rsidR="009A1E24" w:rsidRPr="00892343">
        <w:rPr>
          <w:rFonts w:ascii="Times New Roman" w:hAnsi="Times New Roman" w:cs="Times New Roman"/>
          <w:color w:val="000000"/>
          <w:sz w:val="24"/>
          <w:szCs w:val="24"/>
        </w:rPr>
        <w:t xml:space="preserve">, Республика Башкортостан, </w:t>
      </w:r>
      <w:proofErr w:type="spellStart"/>
      <w:r w:rsidR="009A1E24"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p w:rsidR="009A1E24" w:rsidRPr="00366146"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w:t>
      </w:r>
      <w:proofErr w:type="spellStart"/>
      <w:r w:rsidR="00366146">
        <w:rPr>
          <w:rFonts w:ascii="Times New Roman" w:hAnsi="Times New Roman" w:cs="Times New Roman"/>
          <w:b/>
          <w:bCs/>
          <w:color w:val="000000"/>
          <w:sz w:val="24"/>
          <w:szCs w:val="24"/>
          <w:lang w:val="en-US"/>
        </w:rPr>
        <w:t>antingan</w:t>
      </w:r>
      <w:proofErr w:type="spellEnd"/>
      <w:r w:rsidR="00366146" w:rsidRPr="00366146">
        <w:rPr>
          <w:rFonts w:ascii="Times New Roman" w:hAnsi="Times New Roman" w:cs="Times New Roman"/>
          <w:b/>
          <w:bCs/>
          <w:color w:val="000000"/>
          <w:sz w:val="24"/>
          <w:szCs w:val="24"/>
        </w:rPr>
        <w:t>_</w:t>
      </w:r>
      <w:proofErr w:type="spellStart"/>
      <w:r w:rsidR="00366146">
        <w:rPr>
          <w:rFonts w:ascii="Times New Roman" w:hAnsi="Times New Roman" w:cs="Times New Roman"/>
          <w:b/>
          <w:bCs/>
          <w:color w:val="000000"/>
          <w:sz w:val="24"/>
          <w:szCs w:val="24"/>
          <w:lang w:val="en-US"/>
        </w:rPr>
        <w:t>ss</w:t>
      </w:r>
      <w:proofErr w:type="spellEnd"/>
      <w:r w:rsidR="00366146" w:rsidRPr="00366146">
        <w:rPr>
          <w:rFonts w:ascii="Times New Roman" w:hAnsi="Times New Roman" w:cs="Times New Roman"/>
          <w:b/>
          <w:bCs/>
          <w:color w:val="000000"/>
          <w:sz w:val="24"/>
          <w:szCs w:val="24"/>
        </w:rPr>
        <w:t>@</w:t>
      </w:r>
      <w:r w:rsidR="00366146">
        <w:rPr>
          <w:rFonts w:ascii="Times New Roman" w:hAnsi="Times New Roman" w:cs="Times New Roman"/>
          <w:b/>
          <w:bCs/>
          <w:color w:val="000000"/>
          <w:sz w:val="24"/>
          <w:szCs w:val="24"/>
          <w:lang w:val="en-US"/>
        </w:rPr>
        <w:t>mail</w:t>
      </w:r>
      <w:r w:rsidR="00366146" w:rsidRPr="00366146">
        <w:rPr>
          <w:rFonts w:ascii="Times New Roman" w:hAnsi="Times New Roman" w:cs="Times New Roman"/>
          <w:b/>
          <w:bCs/>
          <w:color w:val="000000"/>
          <w:sz w:val="24"/>
          <w:szCs w:val="24"/>
        </w:rPr>
        <w:t>.</w:t>
      </w:r>
      <w:proofErr w:type="spellStart"/>
      <w:r w:rsidR="00366146">
        <w:rPr>
          <w:rFonts w:ascii="Times New Roman" w:hAnsi="Times New Roman" w:cs="Times New Roman"/>
          <w:b/>
          <w:bCs/>
          <w:color w:val="000000"/>
          <w:sz w:val="24"/>
          <w:szCs w:val="24"/>
          <w:lang w:val="en-US"/>
        </w:rPr>
        <w:t>ru</w:t>
      </w:r>
      <w:proofErr w:type="spell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9A1E24" w:rsidRPr="00366146" w:rsidRDefault="00366146" w:rsidP="009A1E24">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366146">
        <w:rPr>
          <w:rFonts w:ascii="Times New Roman" w:hAnsi="Times New Roman" w:cs="Times New Roman"/>
          <w:b/>
          <w:color w:val="000000"/>
          <w:sz w:val="24"/>
          <w:szCs w:val="24"/>
        </w:rPr>
        <w:t>_</w:t>
      </w:r>
      <w:proofErr w:type="spellStart"/>
      <w:r>
        <w:rPr>
          <w:rFonts w:ascii="Times New Roman" w:hAnsi="Times New Roman" w:cs="Times New Roman"/>
          <w:b/>
          <w:color w:val="000000"/>
          <w:sz w:val="24"/>
          <w:szCs w:val="24"/>
          <w:lang w:val="en-US"/>
        </w:rPr>
        <w:t>antingan</w:t>
      </w:r>
      <w:proofErr w:type="spellEnd"/>
      <w:r w:rsidRPr="00366146">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00366146">
        <w:rPr>
          <w:rFonts w:ascii="Times New Roman" w:hAnsi="Times New Roman" w:cs="Times New Roman"/>
          <w:color w:val="000000"/>
          <w:sz w:val="24"/>
          <w:szCs w:val="24"/>
        </w:rPr>
        <w:t xml:space="preserve"> сельсовет 8(34758)-2-31-45</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sidR="00366146">
        <w:rPr>
          <w:rFonts w:ascii="Times New Roman" w:hAnsi="Times New Roman" w:cs="Times New Roman"/>
          <w:color w:val="000000"/>
          <w:sz w:val="24"/>
          <w:szCs w:val="24"/>
        </w:rPr>
        <w:t>ащений граждан: 8(34758)-2-31-45</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D66AFA" w:rsidP="009A1E24">
      <w:pPr>
        <w:spacing w:after="0" w:line="240" w:lineRule="auto"/>
        <w:jc w:val="right"/>
        <w:rPr>
          <w:rFonts w:ascii="Times New Roman" w:hAnsi="Times New Roman" w:cs="Times New Roman"/>
          <w:color w:val="000000"/>
          <w:sz w:val="24"/>
          <w:szCs w:val="24"/>
        </w:rPr>
      </w:pPr>
      <w:r w:rsidRPr="00D66AFA">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366146" w:rsidRDefault="00366146" w:rsidP="009A1E24">
                  <w:pPr>
                    <w:jc w:val="center"/>
                  </w:pPr>
                  <w:r>
                    <w:t>Гражданин</w:t>
                  </w:r>
                </w:p>
              </w:txbxContent>
            </v:textbox>
          </v:rect>
        </w:pict>
      </w:r>
      <w:r w:rsidRPr="00D66AFA">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366146" w:rsidRDefault="00366146"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D66AFA">
        <w:rPr>
          <w:rFonts w:ascii="Times New Roman" w:hAnsi="Times New Roman" w:cs="Times New Roman"/>
          <w:sz w:val="24"/>
          <w:szCs w:val="24"/>
        </w:rPr>
        <w:pict>
          <v:line id="_x0000_s1028" style="position:absolute;left:0;text-align:left;z-index:251662336" from="234pt,30.3pt" to="234pt,39.3pt"/>
        </w:pict>
      </w:r>
      <w:r w:rsidRPr="00D66AFA">
        <w:rPr>
          <w:rFonts w:ascii="Times New Roman" w:hAnsi="Times New Roman" w:cs="Times New Roman"/>
          <w:sz w:val="24"/>
          <w:szCs w:val="24"/>
        </w:rPr>
        <w:pict>
          <v:line id="_x0000_s1039" style="position:absolute;left:0;text-align:left;flip:x;z-index:251673600" from="63pt,95.1pt" to="189pt,126.9pt"/>
        </w:pict>
      </w:r>
      <w:r w:rsidRPr="00D66AFA">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D66AFA"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366146" w:rsidRDefault="00366146"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366146" w:rsidRDefault="00366146"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366146" w:rsidRDefault="00366146"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366146" w:rsidRDefault="00366146"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366146" w:rsidRDefault="00366146"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366146" w:rsidRDefault="00366146"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366146" w:rsidRDefault="00366146"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366146" w:rsidRDefault="00366146"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366146" w:rsidRDefault="00366146" w:rsidP="009A1E24">
                  <w:pPr>
                    <w:jc w:val="center"/>
                  </w:pPr>
                  <w:r>
                    <w:t>регистрация в журнале учета обращений граждан</w:t>
                  </w:r>
                </w:p>
                <w:p w:rsidR="00366146" w:rsidRDefault="00366146"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366146" w:rsidRDefault="00366146"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D66AFA"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D66AFA"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366146" w:rsidRDefault="00366146"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D66AFA"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D66AFA"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D66AFA"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366146" w:rsidRDefault="00366146"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D66AFA"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D66AFA"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366146" w:rsidRDefault="00366146" w:rsidP="009A1E24">
                  <w:pPr>
                    <w:jc w:val="center"/>
                  </w:pPr>
                  <w:r>
                    <w:t>регистрация ответа (исходящих документов)</w:t>
                  </w:r>
                </w:p>
                <w:p w:rsidR="00366146" w:rsidRDefault="00366146"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Pr="00892343"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proofErr w:type="spellStart"/>
      <w:r w:rsidR="00366146">
        <w:rPr>
          <w:rFonts w:ascii="Times New Roman" w:hAnsi="Times New Roman" w:cs="Times New Roman"/>
          <w:b/>
          <w:color w:val="000000"/>
          <w:sz w:val="24"/>
          <w:szCs w:val="24"/>
        </w:rPr>
        <w:t>Антинганский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sidR="00366146">
        <w:rPr>
          <w:rFonts w:ascii="Times New Roman" w:hAnsi="Times New Roman" w:cs="Times New Roman"/>
          <w:b/>
          <w:color w:val="000000"/>
          <w:sz w:val="24"/>
          <w:szCs w:val="24"/>
        </w:rPr>
        <w:t xml:space="preserve">льского поселения </w:t>
      </w:r>
      <w:proofErr w:type="spellStart"/>
      <w:r w:rsidR="00366146">
        <w:rPr>
          <w:rFonts w:ascii="Times New Roman" w:hAnsi="Times New Roman" w:cs="Times New Roman"/>
          <w:b/>
          <w:color w:val="000000"/>
          <w:sz w:val="24"/>
          <w:szCs w:val="24"/>
        </w:rPr>
        <w:t>Антинганский</w:t>
      </w:r>
      <w:proofErr w:type="spellEnd"/>
      <w:r w:rsidRPr="00892343">
        <w:rPr>
          <w:rFonts w:ascii="Times New Roman" w:hAnsi="Times New Roman" w:cs="Times New Roman"/>
          <w:b/>
          <w:color w:val="000000"/>
          <w:sz w:val="24"/>
          <w:szCs w:val="24"/>
        </w:rPr>
        <w:t xml:space="preserve"> сельсовет</w:t>
      </w:r>
    </w:p>
    <w:p w:rsidR="009A1E24" w:rsidRPr="00892343" w:rsidRDefault="009A1E24" w:rsidP="009A1E24">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9A1E24" w:rsidRPr="00892343" w:rsidTr="009A1E24">
        <w:trPr>
          <w:hidden/>
        </w:trPr>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36614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sidR="00366146">
              <w:rPr>
                <w:rFonts w:ascii="Times New Roman" w:hAnsi="Times New Roman" w:cs="Times New Roman"/>
                <w:color w:val="000000"/>
                <w:sz w:val="24"/>
                <w:szCs w:val="24"/>
              </w:rPr>
              <w:t xml:space="preserve"> </w:t>
            </w:r>
            <w:proofErr w:type="spellStart"/>
            <w:r w:rsidR="00104AEF">
              <w:rPr>
                <w:rFonts w:ascii="Times New Roman" w:hAnsi="Times New Roman" w:cs="Times New Roman"/>
                <w:color w:val="000000"/>
                <w:sz w:val="24"/>
                <w:szCs w:val="24"/>
              </w:rPr>
              <w:t>Антинганский</w:t>
            </w:r>
            <w:proofErr w:type="spellEnd"/>
            <w:r w:rsidR="00104AEF">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A1E24" w:rsidRPr="00892343" w:rsidRDefault="00104AEF" w:rsidP="009A1E24">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104AEF">
              <w:rPr>
                <w:rFonts w:ascii="Times New Roman" w:hAnsi="Times New Roman" w:cs="Times New Roman"/>
                <w:color w:val="000000"/>
                <w:sz w:val="24"/>
                <w:szCs w:val="24"/>
              </w:rPr>
              <w:t xml:space="preserve">льского поселения  </w:t>
            </w:r>
            <w:proofErr w:type="spellStart"/>
            <w:r w:rsidR="00104AEF">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104AEF" w:rsidRPr="00892343" w:rsidRDefault="00104AEF" w:rsidP="00104AE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104AEF" w:rsidP="00104AE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104AEF">
              <w:rPr>
                <w:rFonts w:ascii="Times New Roman" w:hAnsi="Times New Roman" w:cs="Times New Roman"/>
                <w:color w:val="000000"/>
                <w:sz w:val="24"/>
                <w:szCs w:val="24"/>
              </w:rPr>
              <w:t xml:space="preserve">льского поселения  </w:t>
            </w:r>
            <w:proofErr w:type="spellStart"/>
            <w:r w:rsidR="00104AEF">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104AEF" w:rsidRPr="00892343" w:rsidRDefault="00104AEF" w:rsidP="00104AE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104AEF" w:rsidP="00104AE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tc>
      </w:tr>
    </w:tbl>
    <w:p w:rsidR="009A1E24" w:rsidRPr="00892343" w:rsidRDefault="009A1E24" w:rsidP="009A1E24">
      <w:pPr>
        <w:spacing w:after="0" w:line="240" w:lineRule="auto"/>
        <w:ind w:firstLine="180"/>
        <w:jc w:val="both"/>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E24"/>
    <w:rsid w:val="00086DD2"/>
    <w:rsid w:val="00104AEF"/>
    <w:rsid w:val="001C3B12"/>
    <w:rsid w:val="00206EE7"/>
    <w:rsid w:val="00232AD5"/>
    <w:rsid w:val="003003BF"/>
    <w:rsid w:val="0034361C"/>
    <w:rsid w:val="00366146"/>
    <w:rsid w:val="003A3A18"/>
    <w:rsid w:val="004C2481"/>
    <w:rsid w:val="004D1A93"/>
    <w:rsid w:val="004D619F"/>
    <w:rsid w:val="005461B3"/>
    <w:rsid w:val="00596AAA"/>
    <w:rsid w:val="00670933"/>
    <w:rsid w:val="006939BB"/>
    <w:rsid w:val="006C2F05"/>
    <w:rsid w:val="007B7F06"/>
    <w:rsid w:val="00825AD1"/>
    <w:rsid w:val="008C233A"/>
    <w:rsid w:val="009A1E24"/>
    <w:rsid w:val="00A819EB"/>
    <w:rsid w:val="00BF702E"/>
    <w:rsid w:val="00C27735"/>
    <w:rsid w:val="00D66AFA"/>
    <w:rsid w:val="00E6758D"/>
    <w:rsid w:val="00EB47F4"/>
    <w:rsid w:val="00F61091"/>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11875</Words>
  <Characters>67692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cp:lastPrinted>2013-02-06T04:59:00Z</cp:lastPrinted>
  <dcterms:created xsi:type="dcterms:W3CDTF">2012-11-22T12:49:00Z</dcterms:created>
  <dcterms:modified xsi:type="dcterms:W3CDTF">2019-04-18T10:02:00Z</dcterms:modified>
</cp:coreProperties>
</file>