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286D12" w:rsidRPr="00F317A2" w:rsidTr="004A7495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D12" w:rsidRDefault="00286D12" w:rsidP="004A7495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286D12" w:rsidRDefault="00286D12" w:rsidP="004A7495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286D12" w:rsidRDefault="00286D12" w:rsidP="004A7495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86D12" w:rsidRDefault="00286D12" w:rsidP="004A7495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286D12" w:rsidRDefault="00286D12" w:rsidP="004A749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6D12" w:rsidRDefault="00286D12" w:rsidP="004A7495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0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6D12" w:rsidRDefault="00286D12" w:rsidP="004A7495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286D12" w:rsidRDefault="00286D12" w:rsidP="004A7495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286D12" w:rsidRDefault="00286D12" w:rsidP="004A7495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286D12" w:rsidRPr="00F317A2" w:rsidRDefault="00286D12" w:rsidP="004A749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F317A2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F317A2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F317A2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317A2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F317A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F317A2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317A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86D12" w:rsidRPr="00F317A2" w:rsidRDefault="00286D12" w:rsidP="004A7495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286D12" w:rsidRPr="00EE70EA" w:rsidRDefault="00286D12" w:rsidP="00286D12">
      <w:pPr>
        <w:pStyle w:val="a3"/>
        <w:rPr>
          <w:rFonts w:ascii="Times New Roman Bash" w:hAnsi="Times New Roman Bash"/>
          <w:caps/>
          <w:szCs w:val="28"/>
          <w:lang w:val="be-BY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286D12" w:rsidRPr="00B01C1C" w:rsidRDefault="00286D12" w:rsidP="00286D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«О БЮДЖЕТЕ  СЕЛЬСКОГО  ПОСЕЛЕНИЯ  АНТИНГАНСКИЙ  СЕЛЬСОВЕТ   МУНИЦИПАЛЬНОГО РАЙОНА ХАЙБУЛЛИНСКИЙ РАЙОН РЕСПУБЛИКИ БАШКОРТОСТАН  НА 2017 ГОД И НА ПЛАНОВЫЙ ПЕРИОД 2018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2019 ГОДОВ»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ab/>
      </w:r>
    </w:p>
    <w:p w:rsidR="00677403" w:rsidRPr="00677403" w:rsidRDefault="00677403" w:rsidP="00677403">
      <w:pPr>
        <w:pStyle w:val="4"/>
        <w:spacing w:line="240" w:lineRule="auto"/>
        <w:jc w:val="both"/>
        <w:rPr>
          <w:sz w:val="28"/>
        </w:rPr>
      </w:pPr>
      <w:r w:rsidRPr="00677403">
        <w:rPr>
          <w:b w:val="0"/>
          <w:sz w:val="28"/>
        </w:rPr>
        <w:t xml:space="preserve">Совет  сельского поселения </w:t>
      </w:r>
      <w:proofErr w:type="spellStart"/>
      <w:r w:rsidRPr="00677403">
        <w:rPr>
          <w:b w:val="0"/>
          <w:sz w:val="28"/>
        </w:rPr>
        <w:t>Антинганский</w:t>
      </w:r>
      <w:proofErr w:type="spellEnd"/>
      <w:r w:rsidRPr="00677403">
        <w:rPr>
          <w:b w:val="0"/>
          <w:sz w:val="28"/>
        </w:rPr>
        <w:t xml:space="preserve">  сельсовет  муниципального района </w:t>
      </w:r>
      <w:proofErr w:type="spellStart"/>
      <w:r w:rsidRPr="00677403">
        <w:rPr>
          <w:b w:val="0"/>
          <w:sz w:val="28"/>
        </w:rPr>
        <w:t>Хайбуллинский</w:t>
      </w:r>
      <w:proofErr w:type="spellEnd"/>
      <w:r w:rsidRPr="00677403">
        <w:rPr>
          <w:b w:val="0"/>
          <w:sz w:val="28"/>
        </w:rPr>
        <w:t xml:space="preserve"> район Республики Башкортостан </w:t>
      </w:r>
      <w:r w:rsidR="00F317A2">
        <w:rPr>
          <w:b w:val="0"/>
          <w:sz w:val="28"/>
        </w:rPr>
        <w:t xml:space="preserve"> </w:t>
      </w:r>
      <w:r w:rsidRPr="00677403">
        <w:rPr>
          <w:sz w:val="28"/>
        </w:rPr>
        <w:t>решил: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на</w:t>
      </w:r>
      <w:r w:rsidRPr="00677403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Pr="0067740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прогнозируемый общий объём доходов бюджета сельского поселения в сумме   2357,3  тыс. рублей;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общий объём  расходов бюджета сельского поселения в сумме   2357,3        тыс. рублей. 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3)</w:t>
      </w:r>
      <w:r w:rsidRPr="00677403">
        <w:rPr>
          <w:rFonts w:ascii="Times New Roman" w:hAnsi="Times New Roman" w:cs="Times New Roman"/>
          <w:sz w:val="28"/>
          <w:szCs w:val="28"/>
        </w:rPr>
        <w:tab/>
        <w:t>дефицит бюджета сельского поселения в сумме 0,0 тыс. рублей.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на плановый период 2018 и 2019 годов: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прогнозируемый общий объём доходов бюджета сельского поселения на 2018 год в сумме  2284,8  тыс. рублей и 2019 год в сумме   2327,3  тыс. рублей;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общий объём расходов бюджета сельского поселения на 2018 года в сумме 2284,8    тыс. рублей,   в том числе условно утверждаемые расходы в сумме   42,5  тыс. рублей и 2019 год в сумме 2327,3   тыс. рублей, в том числе условно утверждаемые расходы в сумме  85,0   тыс. рублей.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677403">
        <w:rPr>
          <w:rFonts w:ascii="Times New Roman" w:hAnsi="Times New Roman" w:cs="Times New Roman"/>
          <w:sz w:val="28"/>
          <w:szCs w:val="28"/>
        </w:rPr>
        <w:tab/>
        <w:t>дефицит бюджета сельского поселения на 2018 год в сумме 0,0 тыс. рублей и на 2019 год в сумме 0,0 тыс. рублей.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 1 к настоящему Решению.</w:t>
      </w:r>
    </w:p>
    <w:p w:rsidR="00677403" w:rsidRPr="00677403" w:rsidRDefault="00677403" w:rsidP="00677403">
      <w:pPr>
        <w:ind w:right="-6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 2 к настоящему Решению.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1. Установить поступления доходов в бюджет сельского поселения: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на</w:t>
      </w:r>
      <w:r w:rsidRPr="00677403">
        <w:rPr>
          <w:rFonts w:ascii="Times New Roman" w:hAnsi="Times New Roman" w:cs="Times New Roman"/>
          <w:noProof/>
          <w:sz w:val="28"/>
          <w:szCs w:val="28"/>
        </w:rPr>
        <w:t xml:space="preserve"> 2017 </w:t>
      </w:r>
      <w:r w:rsidRPr="00677403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677403">
        <w:rPr>
          <w:rFonts w:ascii="Times New Roman" w:hAnsi="Times New Roman" w:cs="Times New Roman"/>
          <w:noProof/>
          <w:sz w:val="28"/>
          <w:szCs w:val="28"/>
        </w:rPr>
        <w:t xml:space="preserve">  3</w:t>
      </w:r>
      <w:r w:rsidRPr="00677403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4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2. Утвердить объем межбюджетных трансфертов,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поступаемых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 из бюджета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color w:val="993300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2017 году в сумме 62,3 тыс. рублей, в 2018 году в сумме 62,3 тыс. рублей, в 2019 году в сумме 62,3 тыс. рублей; 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прочие межбюджетные трансферты, передаваемые бюджетам поселений на осуществление  передаваемого полномочия по дорожной деятельности в границах  сельских поселений в 2017 году в сумме  35,0 тыс. рублей.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1.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по разделам и подразделам, целевым статьям (муниципальным программам и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 классификации расходов: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на 2017 год согласно приложению 5 к настоящему Решению;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6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2.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 ведомственную структуру расходов бюджета сельского поселения: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на 2017 год согласно приложению  7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8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3. по целевым статьям (муниципальным программам и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классификации расходов бюджетов: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на 2017 год согласно приложению  9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2)</w:t>
      </w:r>
      <w:r w:rsidRPr="00677403">
        <w:rPr>
          <w:rFonts w:ascii="Times New Roman" w:hAnsi="Times New Roman" w:cs="Times New Roman"/>
          <w:sz w:val="28"/>
          <w:szCs w:val="28"/>
        </w:rPr>
        <w:tab/>
        <w:t>на плановый период 2018 и 2019 годов согласно приложению 10 к настоящему Решению.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4. Утвердить объём резервного фонда Администрации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в сумме 20,0 тыс. рублей, на 2018 год в сумме 10,0 тыс. рублей и на 2019 год  в сумме 10,0 тыс. рублей.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1.</w:t>
      </w:r>
      <w:r w:rsidRPr="006774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2017 год и на плановый период 2018 и 2019 годов, а также сокращающие его доходную базу, подлежат исполнению при изыскании дополнительных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 xml:space="preserve">источников доходов бюджета сельского поселения и (или) сокращении бюджетных ассигнований по конкретным статьям расходов бюджета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774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 либо сокращающие его доходную базу, вносятся при одновременном внесении предложений о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3.</w:t>
      </w:r>
      <w:r w:rsidRPr="00677403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не вправе принимать решения, приводящие к увеличению в 2017-2019 годах численности муниципальных служащих и  работников  муниципальных учреждений.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1.</w:t>
      </w:r>
      <w:r w:rsidRPr="00677403">
        <w:rPr>
          <w:rFonts w:ascii="Times New Roman" w:hAnsi="Times New Roman" w:cs="Times New Roman"/>
          <w:sz w:val="28"/>
          <w:szCs w:val="28"/>
        </w:rPr>
        <w:tab/>
        <w:t>Установить предельный объём муниципального долга на 2017 год в сумме 30,0</w:t>
      </w:r>
      <w:r w:rsidRPr="0067740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677403">
        <w:rPr>
          <w:rFonts w:ascii="Times New Roman" w:hAnsi="Times New Roman" w:cs="Times New Roman"/>
          <w:sz w:val="28"/>
          <w:szCs w:val="28"/>
        </w:rPr>
        <w:t>тыс. рублей, на 2018 год в сумме 30,0  тыс. рублей, на 2019 год в сумме 30,0 тыс. рублей.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2.</w:t>
      </w:r>
      <w:r w:rsidRPr="00677403">
        <w:rPr>
          <w:rFonts w:ascii="Times New Roman" w:hAnsi="Times New Roman" w:cs="Times New Roman"/>
          <w:sz w:val="28"/>
          <w:szCs w:val="28"/>
        </w:rPr>
        <w:tab/>
        <w:t xml:space="preserve">Утвердить верхний предел муниципального долга на 1 января 2018 года в сумме 0,0 тыс. рублей, на 1 января 2019 года в сумме 0,0 тыс. рублей, на  1 января 2020 года в сумме 0,0 тыс. рублей, в том числе верхний предел муниципального долга по муниципальным гарантиям в сумме 0,0 тыс. рублей. 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Установить, что в  соответствии с пунктом 3 и 8 статьи 217 Бюджетного кодекса Российской федерации следующие основания для внесения в ходе исполнения настоящего решения 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1)</w:t>
      </w:r>
      <w:r w:rsidRPr="00677403">
        <w:rPr>
          <w:rFonts w:ascii="Times New Roman" w:hAnsi="Times New Roman" w:cs="Times New Roman"/>
          <w:sz w:val="28"/>
          <w:szCs w:val="28"/>
        </w:rPr>
        <w:tab/>
        <w:t>при поступлении средств из других уровней бюджетов в виде дотаций, субвенций, субсидий, иных  межбюджетных трансфертов и прочих безвозмездных поступлений;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2) при получении субсидий, субвенций,  дотаций, иных межбюджетных трансфертов и безвозмездных поступлений от физических и юридических </w:t>
      </w:r>
      <w:r w:rsidRPr="00677403">
        <w:rPr>
          <w:rFonts w:ascii="Times New Roman" w:hAnsi="Times New Roman" w:cs="Times New Roman"/>
          <w:sz w:val="28"/>
          <w:szCs w:val="28"/>
        </w:rPr>
        <w:lastRenderedPageBreak/>
        <w:t>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3)</w:t>
      </w:r>
      <w:r w:rsidRPr="00677403">
        <w:rPr>
          <w:rFonts w:ascii="Times New Roman" w:hAnsi="Times New Roman" w:cs="Times New Roman"/>
          <w:sz w:val="28"/>
          <w:szCs w:val="28"/>
        </w:rPr>
        <w:tab/>
        <w:t>при принятии решений о перераспределении средств на реализацию муниципальных программ сельского поселения;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4)</w:t>
      </w:r>
      <w:r w:rsidRPr="00677403">
        <w:rPr>
          <w:rFonts w:ascii="Times New Roman" w:hAnsi="Times New Roman" w:cs="Times New Roman"/>
          <w:sz w:val="28"/>
          <w:szCs w:val="28"/>
        </w:rPr>
        <w:tab/>
        <w:t>при использовании средств резервного фонда Администрации сельского поселения;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5)</w:t>
      </w:r>
      <w:r w:rsidRPr="00677403">
        <w:rPr>
          <w:rFonts w:ascii="Times New Roman" w:hAnsi="Times New Roman" w:cs="Times New Roman"/>
          <w:sz w:val="28"/>
          <w:szCs w:val="28"/>
        </w:rPr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677403" w:rsidRPr="00677403" w:rsidRDefault="00677403" w:rsidP="006774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677403" w:rsidRPr="00677403" w:rsidRDefault="00677403" w:rsidP="006774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7) на мероприятия, связанные с ликвидацией и преобразованием  органов местного самоуправления;</w:t>
      </w:r>
    </w:p>
    <w:p w:rsidR="00677403" w:rsidRPr="00677403" w:rsidRDefault="00677403" w:rsidP="006774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9)</w:t>
      </w:r>
      <w:r w:rsidRPr="00677403">
        <w:rPr>
          <w:rFonts w:ascii="Times New Roman" w:hAnsi="Times New Roman" w:cs="Times New Roman"/>
          <w:sz w:val="28"/>
          <w:szCs w:val="28"/>
        </w:rPr>
        <w:tab/>
        <w:t>при использовании остатков средств бюджета на 1 января 2017 года;</w:t>
      </w:r>
    </w:p>
    <w:p w:rsidR="00677403" w:rsidRPr="00677403" w:rsidRDefault="00677403" w:rsidP="0067740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10)</w:t>
      </w:r>
      <w:r w:rsidRPr="00677403">
        <w:rPr>
          <w:rFonts w:ascii="Times New Roman" w:hAnsi="Times New Roman" w:cs="Times New Roman"/>
          <w:sz w:val="28"/>
          <w:szCs w:val="28"/>
        </w:rPr>
        <w:tab/>
        <w:t>в иных случаях, установленных бюджетным законодательством.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установить 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 xml:space="preserve"> исполнением бюджета  сельского поселения на 2017 год и плановый период 2018 и 2019 годов, полным поступлением доходов в бюджет, целевым и эффективным использованием бюджетных средств.</w:t>
      </w:r>
    </w:p>
    <w:p w:rsidR="00677403" w:rsidRPr="00677403" w:rsidRDefault="00677403" w:rsidP="00677403">
      <w:pPr>
        <w:rPr>
          <w:rFonts w:ascii="Times New Roman" w:hAnsi="Times New Roman" w:cs="Times New Roman"/>
          <w:b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Данное решение вступает в силу с 1 января 2017 года.</w:t>
      </w:r>
    </w:p>
    <w:p w:rsidR="00554F50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50" w:rsidRDefault="00554F50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b/>
          <w:sz w:val="28"/>
          <w:szCs w:val="28"/>
        </w:rPr>
        <w:lastRenderedPageBreak/>
        <w:t>Статья 10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на официальном сайте сельского поселения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403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740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М.Ф. Сурина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  <w:r w:rsidRPr="0067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7740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77403"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</w:p>
    <w:p w:rsidR="00677403" w:rsidRPr="00677403" w:rsidRDefault="00554F50" w:rsidP="00677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77403" w:rsidRPr="00677403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</w:p>
    <w:p w:rsidR="00677403" w:rsidRPr="00677403" w:rsidRDefault="00554F50" w:rsidP="00677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- 15/57</w:t>
      </w:r>
    </w:p>
    <w:p w:rsidR="00677403" w:rsidRPr="00677403" w:rsidRDefault="00677403" w:rsidP="00677403">
      <w:pPr>
        <w:rPr>
          <w:rFonts w:ascii="Times New Roman" w:hAnsi="Times New Roman" w:cs="Times New Roman"/>
          <w:sz w:val="28"/>
          <w:szCs w:val="28"/>
        </w:rPr>
      </w:pPr>
    </w:p>
    <w:p w:rsidR="000D42D1" w:rsidRPr="00677403" w:rsidRDefault="000D42D1">
      <w:pPr>
        <w:rPr>
          <w:rFonts w:ascii="Times New Roman" w:hAnsi="Times New Roman" w:cs="Times New Roman"/>
          <w:sz w:val="28"/>
          <w:szCs w:val="28"/>
        </w:rPr>
      </w:pPr>
    </w:p>
    <w:sectPr w:rsidR="000D42D1" w:rsidRPr="00677403" w:rsidSect="001E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E8"/>
    <w:multiLevelType w:val="hybridMultilevel"/>
    <w:tmpl w:val="8CAE96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D12"/>
    <w:rsid w:val="000D42D1"/>
    <w:rsid w:val="000E75EE"/>
    <w:rsid w:val="00286D12"/>
    <w:rsid w:val="00381F45"/>
    <w:rsid w:val="00554F50"/>
    <w:rsid w:val="00677403"/>
    <w:rsid w:val="007C33B9"/>
    <w:rsid w:val="00F3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45"/>
  </w:style>
  <w:style w:type="paragraph" w:styleId="4">
    <w:name w:val="heading 4"/>
    <w:basedOn w:val="a"/>
    <w:next w:val="a"/>
    <w:link w:val="40"/>
    <w:qFormat/>
    <w:rsid w:val="00677403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6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6D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86D1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86D1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Title">
    <w:name w:val="ConsTitle"/>
    <w:rsid w:val="00286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qFormat/>
    <w:rsid w:val="00286D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harChar">
    <w:name w:val="Char Char"/>
    <w:basedOn w:val="a"/>
    <w:rsid w:val="0028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D1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774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740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677403"/>
    <w:rPr>
      <w:rFonts w:ascii="Times New Roman" w:eastAsia="Times New Roman" w:hAnsi="Times New Roman" w:cs="Times New Roman"/>
      <w:b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1385</Words>
  <Characters>7899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2016-12-23T11:08:00Z</cp:lastPrinted>
  <dcterms:created xsi:type="dcterms:W3CDTF">2016-11-30T11:06:00Z</dcterms:created>
  <dcterms:modified xsi:type="dcterms:W3CDTF">2016-12-23T11:09:00Z</dcterms:modified>
</cp:coreProperties>
</file>