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E" w:rsidRPr="0054315E" w:rsidRDefault="0054315E" w:rsidP="0054315E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7790"/>
          <w:kern w:val="36"/>
          <w:sz w:val="27"/>
          <w:szCs w:val="27"/>
        </w:rPr>
      </w:pPr>
      <w:r w:rsidRPr="0054315E">
        <w:rPr>
          <w:rFonts w:ascii="inherit" w:eastAsia="Times New Roman" w:hAnsi="inherit" w:cs="Times New Roman"/>
          <w:color w:val="447790"/>
          <w:kern w:val="36"/>
          <w:sz w:val="27"/>
          <w:szCs w:val="27"/>
        </w:rPr>
        <w:t>Памятка по урегулированию конфликта интересов на муниципальной службе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(ст. 14.1 Федерального закона от 02.03.2007 г. № 25-ФЗ</w:t>
      </w:r>
      <w:proofErr w:type="gramEnd"/>
    </w:p>
    <w:p w:rsidR="0054315E" w:rsidRPr="0054315E" w:rsidRDefault="0054315E" w:rsidP="0054315E">
      <w:pPr>
        <w:shd w:val="clear" w:color="auto" w:fill="FFFFFF"/>
        <w:spacing w:after="15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«О муниципальной службе в Российской Федерации»)</w:t>
      </w:r>
      <w:proofErr w:type="gramEnd"/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1.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, общества, Российской Федерации, субъекта Российской Федерации, муниципального образования.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Конфликт интересов является специфическим видом конфликтов, возникающим на муниципальной службе. Конфликт интересов, 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исходя из определения не является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служебным спором, т.е. возникает не по поводу установления или применения условий труда муниципального служащего. Конфликт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Данным абзацем 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2.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 </w:t>
      </w:r>
      <w:hyperlink r:id="rId5" w:history="1">
        <w:r w:rsidRPr="0054315E">
          <w:rPr>
            <w:rFonts w:ascii="inherit" w:eastAsia="Times New Roman" w:hAnsi="inherit" w:cs="Times New Roman"/>
            <w:b/>
            <w:bCs/>
            <w:color w:val="4776C0"/>
            <w:sz w:val="21"/>
            <w:u w:val="single"/>
          </w:rPr>
          <w:t>пункте 5 части 1 статьи 13</w:t>
        </w:r>
      </w:hyperlink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 настоящего Федерального закона, а также для 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lastRenderedPageBreak/>
        <w:t>граждан или организаций, с которыми муниципальный служащий связан финансовыми или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иными обязательствами.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Личная заинтересованность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муниципального служащего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может быть связана с любой выгодой (не только материальной), которая может влиять на объективное исполнение должностных обязанностей. А личный интерес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индивида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связан не только с возможностью получения материальной выгоды, личный интерес может быть направлен на различные объекты, освоение которых оценивается как благо. Конфликт интересов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2.2. В случае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,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 </w:t>
      </w:r>
      <w:hyperlink r:id="rId6" w:history="1">
        <w:r w:rsidRPr="0054315E">
          <w:rPr>
            <w:rFonts w:ascii="inherit" w:eastAsia="Times New Roman" w:hAnsi="inherit" w:cs="Times New Roman"/>
            <w:b/>
            <w:bCs/>
            <w:color w:val="4776C0"/>
            <w:sz w:val="21"/>
            <w:u w:val="single"/>
          </w:rPr>
          <w:t>законодательством</w:t>
        </w:r>
      </w:hyperlink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 Российской Федерации.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Согласно ст. 1012 ГК РФ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выгодоприобретателя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).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3.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 службы.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Данная норма 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lastRenderedPageBreak/>
        <w:t xml:space="preserve">Обязанность предотвратить возникновение у служащего личной заинтересованности 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лежит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 xml:space="preserve">3.1. </w:t>
      </w:r>
      <w:proofErr w:type="gramStart"/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Комментируемая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hyperlink r:id="rId7" w:history="1">
        <w:r w:rsidRPr="0054315E">
          <w:rPr>
            <w:rFonts w:ascii="inherit" w:eastAsia="Times New Roman" w:hAnsi="inherit" w:cs="Times New Roman"/>
            <w:color w:val="4776C0"/>
            <w:sz w:val="21"/>
            <w:u w:val="single"/>
          </w:rPr>
          <w:t>статья</w:t>
        </w:r>
      </w:hyperlink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Вышеуказанные комиссии в органах местного самоуправления созданы и действуют.</w:t>
      </w:r>
    </w:p>
    <w:p w:rsidR="0054315E" w:rsidRPr="0054315E" w:rsidRDefault="0054315E" w:rsidP="0054315E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Обзор типовых ситуаций конфликта интересов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b/>
          <w:bCs/>
          <w:color w:val="444444"/>
          <w:sz w:val="21"/>
        </w:rPr>
        <w:t> </w:t>
      </w:r>
    </w:p>
    <w:p w:rsidR="0054315E" w:rsidRPr="0054315E" w:rsidRDefault="0054315E" w:rsidP="0054315E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 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того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4315E" w:rsidRPr="0054315E" w:rsidRDefault="0054315E" w:rsidP="0054315E">
      <w:pPr>
        <w:numPr>
          <w:ilvl w:val="0"/>
          <w:numId w:val="3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организации, ответственный за закупку материальных сре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дств пр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4315E" w:rsidRPr="0054315E" w:rsidRDefault="0054315E" w:rsidP="0054315E">
      <w:pPr>
        <w:numPr>
          <w:ilvl w:val="0"/>
          <w:numId w:val="4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аффилированной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с организацией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изменение</w:t>
      </w:r>
      <w:r w:rsidR="00DC282D">
        <w:rPr>
          <w:rFonts w:eastAsia="Times New Roman" w:cs="Times New Roman"/>
          <w:color w:val="444444"/>
          <w:sz w:val="21"/>
          <w:szCs w:val="21"/>
        </w:rPr>
        <w:t xml:space="preserve"> 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аффилированной</w:t>
      </w:r>
      <w:proofErr w:type="spell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организации; рекомендация работнику отказаться от выполнения иной оплачиваемой работы.</w:t>
      </w:r>
    </w:p>
    <w:p w:rsidR="0054315E" w:rsidRPr="0054315E" w:rsidRDefault="0054315E" w:rsidP="0054315E">
      <w:pPr>
        <w:numPr>
          <w:ilvl w:val="0"/>
          <w:numId w:val="5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6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4315E" w:rsidRPr="0054315E" w:rsidRDefault="0054315E" w:rsidP="0054315E">
      <w:pPr>
        <w:numPr>
          <w:ilvl w:val="0"/>
          <w:numId w:val="7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4315E" w:rsidRPr="0054315E" w:rsidRDefault="0054315E" w:rsidP="0054315E">
      <w:pPr>
        <w:numPr>
          <w:ilvl w:val="0"/>
          <w:numId w:val="8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организация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Б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4315E" w:rsidRPr="0054315E" w:rsidRDefault="0054315E" w:rsidP="0054315E">
      <w:pPr>
        <w:numPr>
          <w:ilvl w:val="0"/>
          <w:numId w:val="9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</w:t>
      </w: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4315E" w:rsidRPr="0054315E" w:rsidRDefault="0054315E" w:rsidP="0054315E">
      <w:pPr>
        <w:numPr>
          <w:ilvl w:val="0"/>
          <w:numId w:val="10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lastRenderedPageBreak/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рекомендация работнику вернуть 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4315E" w:rsidRPr="0054315E" w:rsidRDefault="0054315E" w:rsidP="0054315E">
      <w:pPr>
        <w:numPr>
          <w:ilvl w:val="0"/>
          <w:numId w:val="1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организация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Б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отстранение работника от принятия решения, которое является предметом конфликта интересов.</w:t>
      </w:r>
    </w:p>
    <w:p w:rsidR="0054315E" w:rsidRPr="0054315E" w:rsidRDefault="0054315E" w:rsidP="0054315E">
      <w:pPr>
        <w:numPr>
          <w:ilvl w:val="0"/>
          <w:numId w:val="12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Пример: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работник организации</w:t>
      </w:r>
      <w:proofErr w:type="gramStart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 А</w:t>
      </w:r>
      <w:proofErr w:type="gramEnd"/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4315E" w:rsidRPr="0054315E" w:rsidRDefault="0054315E" w:rsidP="0054315E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54315E">
        <w:rPr>
          <w:rFonts w:ascii="Lucida Grande" w:eastAsia="Times New Roman" w:hAnsi="Lucida Grande" w:cs="Lucida Grande"/>
          <w:i/>
          <w:iCs/>
          <w:color w:val="444444"/>
          <w:sz w:val="21"/>
        </w:rPr>
        <w:t>Возможные способы урегулирования:</w:t>
      </w:r>
      <w:r w:rsidRPr="0054315E">
        <w:rPr>
          <w:rFonts w:ascii="inherit" w:eastAsia="Times New Roman" w:hAnsi="inherit" w:cs="Times New Roman"/>
          <w:color w:val="444444"/>
          <w:sz w:val="21"/>
        </w:rPr>
        <w:t> </w:t>
      </w:r>
      <w:r w:rsidRPr="0054315E">
        <w:rPr>
          <w:rFonts w:ascii="inherit" w:eastAsia="Times New Roman" w:hAnsi="inherit" w:cs="Times New Roman"/>
          <w:color w:val="444444"/>
          <w:sz w:val="21"/>
          <w:szCs w:val="21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E3BDC" w:rsidRPr="0054315E" w:rsidRDefault="00EE3BDC">
      <w:pPr>
        <w:rPr>
          <w:rFonts w:ascii="Times New Roman" w:hAnsi="Times New Roman" w:cs="Times New Roman"/>
        </w:rPr>
      </w:pPr>
    </w:p>
    <w:sectPr w:rsidR="00EE3BDC" w:rsidRPr="0054315E" w:rsidSect="005A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A9"/>
    <w:multiLevelType w:val="multilevel"/>
    <w:tmpl w:val="BEE2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98B"/>
    <w:multiLevelType w:val="multilevel"/>
    <w:tmpl w:val="B608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9ED"/>
    <w:multiLevelType w:val="multilevel"/>
    <w:tmpl w:val="8AF8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5352B"/>
    <w:multiLevelType w:val="multilevel"/>
    <w:tmpl w:val="FB7A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04E81"/>
    <w:multiLevelType w:val="multilevel"/>
    <w:tmpl w:val="0236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63605"/>
    <w:multiLevelType w:val="multilevel"/>
    <w:tmpl w:val="54CC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31A8C"/>
    <w:multiLevelType w:val="multilevel"/>
    <w:tmpl w:val="9714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53E5B"/>
    <w:multiLevelType w:val="multilevel"/>
    <w:tmpl w:val="B318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D11F1"/>
    <w:multiLevelType w:val="multilevel"/>
    <w:tmpl w:val="E176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2793F"/>
    <w:multiLevelType w:val="multilevel"/>
    <w:tmpl w:val="535E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DD48E2"/>
    <w:multiLevelType w:val="multilevel"/>
    <w:tmpl w:val="75C2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253CC"/>
    <w:multiLevelType w:val="multilevel"/>
    <w:tmpl w:val="FDD0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5E"/>
    <w:rsid w:val="0054315E"/>
    <w:rsid w:val="005A44B9"/>
    <w:rsid w:val="00DC282D"/>
    <w:rsid w:val="00E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9"/>
  </w:style>
  <w:style w:type="paragraph" w:styleId="1">
    <w:name w:val="heading 1"/>
    <w:basedOn w:val="a"/>
    <w:link w:val="10"/>
    <w:uiPriority w:val="9"/>
    <w:qFormat/>
    <w:rsid w:val="0054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4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15E"/>
    <w:rPr>
      <w:b/>
      <w:bCs/>
    </w:rPr>
  </w:style>
  <w:style w:type="character" w:customStyle="1" w:styleId="apple-converted-space">
    <w:name w:val="apple-converted-space"/>
    <w:basedOn w:val="a0"/>
    <w:rsid w:val="0054315E"/>
  </w:style>
  <w:style w:type="character" w:styleId="a5">
    <w:name w:val="Hyperlink"/>
    <w:basedOn w:val="a0"/>
    <w:uiPriority w:val="99"/>
    <w:semiHidden/>
    <w:unhideWhenUsed/>
    <w:rsid w:val="0054315E"/>
    <w:rPr>
      <w:color w:val="0000FF"/>
      <w:u w:val="single"/>
    </w:rPr>
  </w:style>
  <w:style w:type="character" w:styleId="a6">
    <w:name w:val="Emphasis"/>
    <w:basedOn w:val="a0"/>
    <w:uiPriority w:val="20"/>
    <w:qFormat/>
    <w:rsid w:val="005431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3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750890843F579CBBA7A776B98FECD14DDF3BF84FA69344EDB16FECBEEF5A1F77EA7CEDC054E577O4k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A1ECFF5CF5651254A3D59D60D81E621E38CCEF8D7805B971BE8E96C150A3D8549711E0EEA3F4F6HCc3F" TargetMode="External"/><Relationship Id="rId5" Type="http://schemas.openxmlformats.org/officeDocument/2006/relationships/hyperlink" Target="consultantplus://offline/ref=1EA1ECFF5CF5651254A3D59D60D81E621E3BC5E9887605B971BE8E96C150A3D8549711E0EEA1F7FAHCc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2499</Words>
  <Characters>14248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2017-01-20T06:45:00Z</dcterms:created>
  <dcterms:modified xsi:type="dcterms:W3CDTF">2017-01-20T06:57:00Z</dcterms:modified>
</cp:coreProperties>
</file>